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E5" w:rsidRPr="00B66CE5" w:rsidRDefault="00B66CE5" w:rsidP="00B66CE5">
      <w:pPr>
        <w:jc w:val="center"/>
        <w:rPr>
          <w:rFonts w:ascii="Arial" w:hAnsi="Arial" w:cs="Arial"/>
          <w:b/>
          <w:sz w:val="28"/>
          <w:szCs w:val="28"/>
        </w:rPr>
      </w:pPr>
      <w:r w:rsidRPr="00B66CE5">
        <w:rPr>
          <w:rFonts w:ascii="Arial" w:hAnsi="Arial" w:cs="Arial"/>
          <w:b/>
          <w:sz w:val="28"/>
          <w:szCs w:val="28"/>
        </w:rPr>
        <w:t xml:space="preserve">NUB-Antrag für </w:t>
      </w:r>
      <w:proofErr w:type="spellStart"/>
      <w:r w:rsidR="006F2E3B">
        <w:rPr>
          <w:rFonts w:ascii="Arial" w:hAnsi="Arial" w:cs="Arial"/>
          <w:b/>
          <w:sz w:val="28"/>
          <w:szCs w:val="28"/>
        </w:rPr>
        <w:t>Lutathera</w:t>
      </w:r>
      <w:proofErr w:type="spellEnd"/>
    </w:p>
    <w:p w:rsidR="00B66CE5" w:rsidRDefault="00B66CE5" w:rsidP="00B66CE5">
      <w:pPr>
        <w:rPr>
          <w:rFonts w:ascii="Arial" w:hAnsi="Arial" w:cs="Arial"/>
        </w:rPr>
      </w:pPr>
    </w:p>
    <w:p w:rsidR="00B66CE5" w:rsidRDefault="006E4BA0" w:rsidP="006E4BA0">
      <w:pPr>
        <w:jc w:val="both"/>
        <w:rPr>
          <w:rFonts w:ascii="Arial" w:hAnsi="Arial" w:cs="Arial"/>
        </w:rPr>
      </w:pPr>
      <w:r w:rsidRPr="006E4BA0">
        <w:rPr>
          <w:rFonts w:ascii="Arial" w:hAnsi="Arial" w:cs="Arial"/>
          <w:b/>
          <w:u w:val="single"/>
        </w:rPr>
        <w:t>Achtung:</w:t>
      </w:r>
      <w:r>
        <w:rPr>
          <w:rFonts w:ascii="Arial" w:hAnsi="Arial" w:cs="Arial"/>
        </w:rPr>
        <w:t xml:space="preserve"> </w:t>
      </w:r>
      <w:r w:rsidR="00B66CE5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Hilfestellung</w:t>
      </w:r>
      <w:r w:rsidR="00B66CE5">
        <w:rPr>
          <w:rFonts w:ascii="Arial" w:hAnsi="Arial" w:cs="Arial"/>
        </w:rPr>
        <w:t xml:space="preserve"> ist </w:t>
      </w:r>
      <w:r w:rsidR="00B66CE5" w:rsidRPr="00B66CE5">
        <w:rPr>
          <w:rFonts w:ascii="Arial" w:hAnsi="Arial" w:cs="Arial"/>
          <w:b/>
          <w:u w:val="single"/>
        </w:rPr>
        <w:t>NICHT</w:t>
      </w:r>
      <w:r w:rsidR="00B66CE5">
        <w:rPr>
          <w:rFonts w:ascii="Arial" w:hAnsi="Arial" w:cs="Arial"/>
        </w:rPr>
        <w:t xml:space="preserve"> zum direkten Einreichen beim </w:t>
      </w:r>
      <w:proofErr w:type="spellStart"/>
      <w:r w:rsidR="00B66CE5">
        <w:rPr>
          <w:rFonts w:ascii="Arial" w:hAnsi="Arial" w:cs="Arial"/>
        </w:rPr>
        <w:t>I</w:t>
      </w:r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gedacht!</w:t>
      </w:r>
      <w:r w:rsidR="00B66CE5">
        <w:rPr>
          <w:rFonts w:ascii="Arial" w:hAnsi="Arial" w:cs="Arial"/>
        </w:rPr>
        <w:t xml:space="preserve"> </w:t>
      </w:r>
    </w:p>
    <w:p w:rsidR="00B66CE5" w:rsidRDefault="00B66CE5" w:rsidP="006E4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Anträge </w:t>
      </w:r>
      <w:r w:rsidR="009258A1">
        <w:rPr>
          <w:rFonts w:ascii="Arial" w:hAnsi="Arial" w:cs="Arial"/>
        </w:rPr>
        <w:t xml:space="preserve">können </w:t>
      </w:r>
      <w:r>
        <w:rPr>
          <w:rFonts w:ascii="Arial" w:hAnsi="Arial" w:cs="Arial"/>
        </w:rPr>
        <w:t xml:space="preserve">nur noch über das </w:t>
      </w:r>
      <w:proofErr w:type="spellStart"/>
      <w:r w:rsidRPr="00B66CE5">
        <w:rPr>
          <w:rFonts w:ascii="Arial" w:hAnsi="Arial" w:cs="Arial"/>
          <w:b/>
        </w:rPr>
        <w:t>InEK</w:t>
      </w:r>
      <w:proofErr w:type="spellEnd"/>
      <w:r w:rsidRPr="00B66CE5">
        <w:rPr>
          <w:rFonts w:ascii="Arial" w:hAnsi="Arial" w:cs="Arial"/>
          <w:b/>
        </w:rPr>
        <w:t>-Datenportal</w:t>
      </w:r>
      <w:r>
        <w:rPr>
          <w:rFonts w:ascii="Arial" w:hAnsi="Arial" w:cs="Arial"/>
        </w:rPr>
        <w:t xml:space="preserve"> (</w:t>
      </w:r>
      <w:hyperlink r:id="rId5" w:history="1">
        <w:r w:rsidRPr="008126A5">
          <w:rPr>
            <w:rStyle w:val="Hyperlink"/>
            <w:rFonts w:ascii="Arial" w:hAnsi="Arial" w:cs="Arial"/>
          </w:rPr>
          <w:t>https://daten.inek.org/</w:t>
        </w:r>
      </w:hyperlink>
      <w:r>
        <w:rPr>
          <w:rFonts w:ascii="Arial" w:hAnsi="Arial" w:cs="Arial"/>
        </w:rPr>
        <w:t>) eingereicht werden.</w:t>
      </w:r>
      <w:r w:rsidR="00854B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Hierzu müssen Sie sich vorab registriert haben. Weitere Informationen dazu finden Sie unter: </w:t>
      </w:r>
      <w:hyperlink r:id="rId6" w:history="1">
        <w:r w:rsidRPr="008126A5">
          <w:rPr>
            <w:rStyle w:val="Hyperlink"/>
            <w:rFonts w:ascii="Arial" w:hAnsi="Arial" w:cs="Arial"/>
          </w:rPr>
          <w:t>http://g-drg.de/cms/InEK_Datenportal</w:t>
        </w:r>
      </w:hyperlink>
      <w:r>
        <w:rPr>
          <w:rFonts w:ascii="Arial" w:hAnsi="Arial" w:cs="Arial"/>
        </w:rPr>
        <w:t xml:space="preserve"> </w:t>
      </w:r>
    </w:p>
    <w:p w:rsidR="00BF126D" w:rsidRDefault="006E4BA0" w:rsidP="006F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können jedoch die hier aufgeführten Informationen zur Erstellung </w:t>
      </w:r>
      <w:r w:rsidR="009258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hres eigenen Antrags nutzen. </w:t>
      </w:r>
    </w:p>
    <w:p w:rsidR="009258A1" w:rsidRDefault="009258A1" w:rsidP="006E4BA0">
      <w:pPr>
        <w:jc w:val="both"/>
        <w:rPr>
          <w:rFonts w:ascii="Arial" w:hAnsi="Arial" w:cs="Arial"/>
        </w:rPr>
      </w:pPr>
    </w:p>
    <w:p w:rsidR="006E4BA0" w:rsidRPr="0044080E" w:rsidRDefault="0044080E" w:rsidP="00B66CE5">
      <w:pPr>
        <w:rPr>
          <w:rFonts w:ascii="Arial" w:hAnsi="Arial" w:cs="Arial"/>
          <w:b/>
          <w:u w:val="single"/>
        </w:rPr>
      </w:pPr>
      <w:r w:rsidRPr="0044080E">
        <w:rPr>
          <w:rFonts w:ascii="Arial" w:hAnsi="Arial" w:cs="Arial"/>
          <w:b/>
          <w:u w:val="single"/>
        </w:rPr>
        <w:t>Blatt: Beschreibung:</w:t>
      </w:r>
    </w:p>
    <w:p w:rsidR="0044080E" w:rsidRPr="0044080E" w:rsidRDefault="0044080E" w:rsidP="00B66CE5">
      <w:pPr>
        <w:rPr>
          <w:rFonts w:ascii="Arial" w:hAnsi="Arial" w:cs="Arial"/>
          <w:u w:val="single"/>
        </w:rPr>
      </w:pPr>
      <w:r w:rsidRPr="0044080E">
        <w:rPr>
          <w:rFonts w:ascii="Arial" w:hAnsi="Arial" w:cs="Arial"/>
          <w:u w:val="single"/>
        </w:rPr>
        <w:t>Angefragte Untersuchungs- und Behandlungsmethode:</w:t>
      </w:r>
    </w:p>
    <w:p w:rsidR="006F2E3B" w:rsidRDefault="006F2E3B" w:rsidP="00B66CE5">
      <w:pPr>
        <w:rPr>
          <w:rFonts w:ascii="Arial" w:hAnsi="Arial" w:cs="Arial"/>
        </w:rPr>
      </w:pPr>
      <w:r w:rsidRPr="006F2E3B">
        <w:rPr>
          <w:rFonts w:ascii="Arial" w:hAnsi="Arial" w:cs="Arial"/>
        </w:rPr>
        <w:t xml:space="preserve">Nuklearmedizinische Therapie mit </w:t>
      </w:r>
      <w:r>
        <w:rPr>
          <w:rFonts w:ascii="Arial" w:hAnsi="Arial" w:cs="Arial"/>
        </w:rPr>
        <w:t xml:space="preserve">arzneimittelrechtlich zugelassenem </w:t>
      </w:r>
      <w:r w:rsidRPr="006F2E3B">
        <w:rPr>
          <w:rFonts w:ascii="Arial" w:hAnsi="Arial" w:cs="Arial"/>
        </w:rPr>
        <w:t>Lu-177-Oxodotreotide</w:t>
      </w:r>
    </w:p>
    <w:p w:rsidR="00B66CE5" w:rsidRPr="0044080E" w:rsidRDefault="00B66CE5" w:rsidP="00B66CE5">
      <w:pPr>
        <w:rPr>
          <w:rFonts w:ascii="Arial" w:hAnsi="Arial" w:cs="Arial"/>
          <w:u w:val="single"/>
        </w:rPr>
      </w:pPr>
      <w:r w:rsidRPr="0044080E">
        <w:rPr>
          <w:rFonts w:ascii="Arial" w:hAnsi="Arial" w:cs="Arial"/>
          <w:u w:val="single"/>
        </w:rPr>
        <w:t>Alternative Bezeichnung(en) der Methode</w:t>
      </w:r>
    </w:p>
    <w:p w:rsidR="005557D2" w:rsidRDefault="004C2112" w:rsidP="000E24DC">
      <w:pPr>
        <w:rPr>
          <w:rFonts w:ascii="Arial" w:hAnsi="Arial" w:cs="Arial"/>
        </w:rPr>
      </w:pPr>
      <w:r w:rsidRPr="004C2112">
        <w:rPr>
          <w:rFonts w:ascii="Arial" w:hAnsi="Arial" w:cs="Arial"/>
        </w:rPr>
        <w:t xml:space="preserve">Handelsname </w:t>
      </w:r>
      <w:proofErr w:type="spellStart"/>
      <w:r w:rsidR="006F2E3B" w:rsidRPr="006F2E3B">
        <w:rPr>
          <w:rFonts w:ascii="Arial" w:hAnsi="Arial" w:cs="Arial"/>
        </w:rPr>
        <w:t>Lutathera</w:t>
      </w:r>
      <w:proofErr w:type="spellEnd"/>
      <w:r w:rsidRPr="006F2E3B">
        <w:rPr>
          <w:rFonts w:ascii="Arial" w:hAnsi="Arial" w:cs="Arial"/>
          <w:vertAlign w:val="superscript"/>
        </w:rPr>
        <w:t>®</w:t>
      </w:r>
    </w:p>
    <w:p w:rsidR="000E639B" w:rsidRDefault="000E639B" w:rsidP="000E24DC">
      <w:pPr>
        <w:rPr>
          <w:rFonts w:ascii="Arial" w:hAnsi="Arial" w:cs="Arial"/>
          <w:u w:val="single"/>
        </w:rPr>
      </w:pPr>
      <w:r w:rsidRPr="000E639B">
        <w:rPr>
          <w:rFonts w:ascii="Arial" w:hAnsi="Arial" w:cs="Arial"/>
          <w:u w:val="single"/>
        </w:rPr>
        <w:t>Beruht die neue Untersuchungs- und Behandlungsmethode vollständig oder in Teilen auf dem Einsatz eines Medizinproduktes?</w:t>
      </w:r>
    </w:p>
    <w:p w:rsidR="000E639B" w:rsidRPr="000E639B" w:rsidRDefault="000E639B" w:rsidP="000E24DC">
      <w:pPr>
        <w:rPr>
          <w:rFonts w:ascii="Arial" w:hAnsi="Arial" w:cs="Arial"/>
        </w:rPr>
      </w:pPr>
      <w:r w:rsidRPr="000E639B">
        <w:rPr>
          <w:rFonts w:ascii="Arial" w:hAnsi="Arial" w:cs="Arial"/>
        </w:rPr>
        <w:t>Nein</w:t>
      </w:r>
    </w:p>
    <w:p w:rsidR="000E24DC" w:rsidRDefault="000E24DC" w:rsidP="000E24DC">
      <w:pPr>
        <w:rPr>
          <w:rFonts w:ascii="Arial" w:hAnsi="Arial" w:cs="Arial"/>
          <w:u w:val="single"/>
        </w:rPr>
      </w:pPr>
      <w:r w:rsidRPr="000C0F3D">
        <w:rPr>
          <w:rFonts w:ascii="Arial" w:hAnsi="Arial" w:cs="Arial"/>
          <w:u w:val="single"/>
        </w:rPr>
        <w:t>Wurde für diese angefragte Untersuchungs- und Behandlungsmethode von Ihrem Krankenhaus bereits vor dem 01.01.201</w:t>
      </w:r>
      <w:r w:rsidR="005E5104">
        <w:rPr>
          <w:rFonts w:ascii="Arial" w:hAnsi="Arial" w:cs="Arial"/>
          <w:u w:val="single"/>
        </w:rPr>
        <w:t>8</w:t>
      </w:r>
      <w:r w:rsidRPr="000C0F3D">
        <w:rPr>
          <w:rFonts w:ascii="Arial" w:hAnsi="Arial" w:cs="Arial"/>
          <w:u w:val="single"/>
        </w:rPr>
        <w:t xml:space="preserve"> eine Anfrage gemäß §6 Abs. 2 </w:t>
      </w:r>
      <w:proofErr w:type="spellStart"/>
      <w:r w:rsidRPr="000C0F3D">
        <w:rPr>
          <w:rFonts w:ascii="Arial" w:hAnsi="Arial" w:cs="Arial"/>
          <w:u w:val="single"/>
        </w:rPr>
        <w:t>K</w:t>
      </w:r>
      <w:r>
        <w:rPr>
          <w:rFonts w:ascii="Arial" w:hAnsi="Arial" w:cs="Arial"/>
          <w:u w:val="single"/>
        </w:rPr>
        <w:t>HEnt</w:t>
      </w:r>
      <w:r w:rsidR="000E639B">
        <w:rPr>
          <w:rFonts w:ascii="Arial" w:hAnsi="Arial" w:cs="Arial"/>
          <w:u w:val="single"/>
        </w:rPr>
        <w:t>g</w:t>
      </w:r>
      <w:r>
        <w:rPr>
          <w:rFonts w:ascii="Arial" w:hAnsi="Arial" w:cs="Arial"/>
          <w:u w:val="single"/>
        </w:rPr>
        <w:t>G</w:t>
      </w:r>
      <w:proofErr w:type="spellEnd"/>
      <w:r>
        <w:rPr>
          <w:rFonts w:ascii="Arial" w:hAnsi="Arial" w:cs="Arial"/>
          <w:u w:val="single"/>
        </w:rPr>
        <w:t xml:space="preserve"> an das </w:t>
      </w:r>
      <w:proofErr w:type="spellStart"/>
      <w:r>
        <w:rPr>
          <w:rFonts w:ascii="Arial" w:hAnsi="Arial" w:cs="Arial"/>
          <w:u w:val="single"/>
        </w:rPr>
        <w:t>InEK</w:t>
      </w:r>
      <w:proofErr w:type="spellEnd"/>
      <w:r>
        <w:rPr>
          <w:rFonts w:ascii="Arial" w:hAnsi="Arial" w:cs="Arial"/>
          <w:u w:val="single"/>
        </w:rPr>
        <w:t xml:space="preserve"> übermittelt?</w:t>
      </w:r>
    </w:p>
    <w:p w:rsidR="000E24DC" w:rsidRDefault="000E24DC" w:rsidP="000E24DC">
      <w:pPr>
        <w:rPr>
          <w:rFonts w:ascii="Arial" w:hAnsi="Arial" w:cs="Arial"/>
        </w:rPr>
      </w:pPr>
      <w:r w:rsidRPr="002B1DF0">
        <w:rPr>
          <w:rFonts w:ascii="Arial" w:hAnsi="Arial" w:cs="Arial"/>
          <w:highlight w:val="yellow"/>
        </w:rPr>
        <w:t>bitte ergänzen</w:t>
      </w:r>
    </w:p>
    <w:p w:rsidR="00B66CE5" w:rsidRPr="0044080E" w:rsidRDefault="00B66CE5" w:rsidP="00B66CE5">
      <w:pPr>
        <w:rPr>
          <w:rFonts w:ascii="Arial" w:hAnsi="Arial" w:cs="Arial"/>
          <w:u w:val="single"/>
        </w:rPr>
      </w:pPr>
      <w:r w:rsidRPr="0044080E">
        <w:rPr>
          <w:rFonts w:ascii="Arial" w:hAnsi="Arial" w:cs="Arial"/>
          <w:u w:val="single"/>
        </w:rPr>
        <w:t>Beschreibung der neuen Methode</w:t>
      </w:r>
    </w:p>
    <w:p w:rsidR="006F2E3B" w:rsidRPr="00E6528A" w:rsidRDefault="006F2E3B" w:rsidP="006F2E3B">
      <w:pPr>
        <w:jc w:val="both"/>
        <w:rPr>
          <w:rFonts w:ascii="Arial" w:hAnsi="Arial" w:cs="Arial"/>
        </w:rPr>
      </w:pPr>
      <w:r w:rsidRPr="00E6528A">
        <w:rPr>
          <w:rFonts w:ascii="Arial" w:hAnsi="Arial" w:cs="Arial"/>
        </w:rPr>
        <w:t>Neuroendokrine Tumoren zeigen eine Überexpression von Somatostatin-Rezeptoren.</w:t>
      </w:r>
      <w:r w:rsidR="007B77DA" w:rsidRPr="00E6528A">
        <w:rPr>
          <w:rFonts w:ascii="Arial" w:hAnsi="Arial" w:cs="Arial"/>
        </w:rPr>
        <w:t xml:space="preserve"> Lu-177-DOTA-konjugierten </w:t>
      </w:r>
      <w:proofErr w:type="spellStart"/>
      <w:r w:rsidR="007B77DA" w:rsidRPr="00E6528A">
        <w:rPr>
          <w:rFonts w:ascii="Arial" w:hAnsi="Arial" w:cs="Arial"/>
        </w:rPr>
        <w:t>Somatostatinanaloga</w:t>
      </w:r>
      <w:proofErr w:type="spellEnd"/>
      <w:r w:rsidRPr="00E6528A">
        <w:rPr>
          <w:rFonts w:ascii="Arial" w:hAnsi="Arial" w:cs="Arial"/>
        </w:rPr>
        <w:t xml:space="preserve"> </w:t>
      </w:r>
      <w:r w:rsidR="007B77DA" w:rsidRPr="00E6528A">
        <w:rPr>
          <w:rFonts w:ascii="Arial" w:hAnsi="Arial" w:cs="Arial"/>
        </w:rPr>
        <w:t>koppeln</w:t>
      </w:r>
      <w:r w:rsidRPr="00E6528A">
        <w:rPr>
          <w:rFonts w:ascii="Arial" w:hAnsi="Arial" w:cs="Arial"/>
        </w:rPr>
        <w:t xml:space="preserve"> nach systemischer Applikation an diese Rezeptoren und </w:t>
      </w:r>
      <w:r w:rsidR="007B77DA" w:rsidRPr="00E6528A">
        <w:rPr>
          <w:rFonts w:ascii="Arial" w:hAnsi="Arial" w:cs="Arial"/>
        </w:rPr>
        <w:t xml:space="preserve">es erfolgt eine </w:t>
      </w:r>
      <w:r w:rsidRPr="00E6528A">
        <w:rPr>
          <w:rFonts w:ascii="Arial" w:hAnsi="Arial" w:cs="Arial"/>
        </w:rPr>
        <w:t>vom Lutetium-177 ausgehenden Betastrahlung Somatostatin-Rezeptor-positive</w:t>
      </w:r>
      <w:r w:rsidR="007B77DA" w:rsidRPr="00E6528A">
        <w:rPr>
          <w:rFonts w:ascii="Arial" w:hAnsi="Arial" w:cs="Arial"/>
        </w:rPr>
        <w:t>n</w:t>
      </w:r>
      <w:r w:rsidRPr="00E6528A">
        <w:rPr>
          <w:rFonts w:ascii="Arial" w:hAnsi="Arial" w:cs="Arial"/>
        </w:rPr>
        <w:t xml:space="preserve"> Tumorgewebe</w:t>
      </w:r>
      <w:r w:rsidR="007B77DA" w:rsidRPr="00E6528A">
        <w:rPr>
          <w:rFonts w:ascii="Arial" w:hAnsi="Arial" w:cs="Arial"/>
        </w:rPr>
        <w:t>s</w:t>
      </w:r>
      <w:r w:rsidRPr="00E6528A">
        <w:rPr>
          <w:rFonts w:ascii="Arial" w:hAnsi="Arial" w:cs="Arial"/>
        </w:rPr>
        <w:t>. Das Therapieziel ist eine Hemmung/Verlangsamung des Wachstums bzw. auch eine Reduktion von Tumorzellen, z.B. in Leber- und Lymphknotenmetastasen.</w:t>
      </w:r>
    </w:p>
    <w:p w:rsidR="007B77DA" w:rsidRDefault="007B77DA" w:rsidP="007B77DA">
      <w:pPr>
        <w:jc w:val="both"/>
        <w:rPr>
          <w:rFonts w:ascii="Arial" w:hAnsi="Arial" w:cs="Arial"/>
        </w:rPr>
      </w:pPr>
      <w:r w:rsidRPr="007B77DA">
        <w:rPr>
          <w:rFonts w:ascii="Arial" w:hAnsi="Arial" w:cs="Arial"/>
        </w:rPr>
        <w:t>Die Therapie erfolgt</w:t>
      </w:r>
      <w:r w:rsidR="00E21BEE">
        <w:rPr>
          <w:rFonts w:ascii="Arial" w:hAnsi="Arial" w:cs="Arial"/>
        </w:rPr>
        <w:t xml:space="preserve"> </w:t>
      </w:r>
      <w:r w:rsidR="00E21BEE" w:rsidRPr="00E21BEE">
        <w:rPr>
          <w:rFonts w:ascii="Arial" w:hAnsi="Arial" w:cs="Arial"/>
        </w:rPr>
        <w:t>bislang</w:t>
      </w:r>
      <w:r w:rsidRPr="007B7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individuell nach </w:t>
      </w:r>
      <w:r w:rsidRPr="006F2E3B">
        <w:rPr>
          <w:rFonts w:ascii="Arial" w:hAnsi="Arial" w:cs="Arial"/>
        </w:rPr>
        <w:t>§ 13 Abs. 2b AMG</w:t>
      </w:r>
      <w:r>
        <w:rPr>
          <w:rFonts w:ascii="Arial" w:hAnsi="Arial" w:cs="Arial"/>
        </w:rPr>
        <w:t xml:space="preserve"> von Ärzten hergestellten Lu-177-</w:t>
      </w:r>
      <w:r w:rsidRPr="00601814">
        <w:rPr>
          <w:rFonts w:ascii="Arial" w:hAnsi="Arial" w:cs="Arial"/>
        </w:rPr>
        <w:t xml:space="preserve">DOTA-konjugierten </w:t>
      </w:r>
      <w:proofErr w:type="spellStart"/>
      <w:r w:rsidRPr="00601814">
        <w:rPr>
          <w:rFonts w:ascii="Arial" w:hAnsi="Arial" w:cs="Arial"/>
        </w:rPr>
        <w:t>Somatostatinanaloga</w:t>
      </w:r>
      <w:proofErr w:type="spellEnd"/>
      <w:r>
        <w:rPr>
          <w:rFonts w:ascii="Arial" w:hAnsi="Arial" w:cs="Arial"/>
        </w:rPr>
        <w:t xml:space="preserve">. </w:t>
      </w:r>
      <w:r w:rsidR="00C629DE">
        <w:rPr>
          <w:rFonts w:ascii="Arial" w:hAnsi="Arial" w:cs="Arial"/>
        </w:rPr>
        <w:t xml:space="preserve">Neben </w:t>
      </w:r>
      <w:proofErr w:type="spellStart"/>
      <w:r w:rsidR="00C629DE" w:rsidRPr="006F2E3B">
        <w:rPr>
          <w:rFonts w:ascii="Arial" w:hAnsi="Arial" w:cs="Arial"/>
        </w:rPr>
        <w:t>Oxodotreotide</w:t>
      </w:r>
      <w:proofErr w:type="spellEnd"/>
      <w:r w:rsidR="00C629DE">
        <w:rPr>
          <w:rFonts w:ascii="Arial" w:hAnsi="Arial" w:cs="Arial"/>
        </w:rPr>
        <w:t xml:space="preserve"> (DOTATATE) kommen auch andere Moleküle (HA-DOTATATE, DOTATOC) und vereinzelt auch andere radioaktive Isotope (z.B. Yttrium-90</w:t>
      </w:r>
      <w:r w:rsidR="006E291D">
        <w:rPr>
          <w:rFonts w:ascii="Arial" w:hAnsi="Arial" w:cs="Arial"/>
        </w:rPr>
        <w:t>, Actinium-227</w:t>
      </w:r>
      <w:r w:rsidR="00C629DE">
        <w:rPr>
          <w:rFonts w:ascii="Arial" w:hAnsi="Arial" w:cs="Arial"/>
        </w:rPr>
        <w:t>) zum Einsatz.</w:t>
      </w:r>
      <w:r w:rsidR="00E6528A" w:rsidRPr="00E6528A">
        <w:rPr>
          <w:rFonts w:ascii="Arial" w:hAnsi="Arial" w:cs="Arial"/>
        </w:rPr>
        <w:t xml:space="preserve"> </w:t>
      </w:r>
      <w:r w:rsidR="00E6528A" w:rsidRPr="00C425E5">
        <w:rPr>
          <w:rFonts w:ascii="Arial" w:hAnsi="Arial" w:cs="Arial"/>
        </w:rPr>
        <w:t xml:space="preserve">Die </w:t>
      </w:r>
      <w:r w:rsidR="00C052F5">
        <w:rPr>
          <w:rFonts w:ascii="Arial" w:hAnsi="Arial" w:cs="Arial"/>
        </w:rPr>
        <w:t xml:space="preserve">Aktivität und damit </w:t>
      </w:r>
      <w:r w:rsidR="00E6528A">
        <w:rPr>
          <w:rFonts w:ascii="Arial" w:hAnsi="Arial" w:cs="Arial"/>
        </w:rPr>
        <w:t>Strahlendosis</w:t>
      </w:r>
      <w:r w:rsidR="00E6528A" w:rsidRPr="00C425E5">
        <w:rPr>
          <w:rFonts w:ascii="Arial" w:hAnsi="Arial" w:cs="Arial"/>
        </w:rPr>
        <w:t xml:space="preserve"> der verschiedenen zulassungsfreien Präparate aus Eigenherstellung </w:t>
      </w:r>
      <w:proofErr w:type="gramStart"/>
      <w:r w:rsidR="00E6528A" w:rsidRPr="00C425E5">
        <w:rPr>
          <w:rFonts w:ascii="Arial" w:hAnsi="Arial" w:cs="Arial"/>
        </w:rPr>
        <w:t>ist</w:t>
      </w:r>
      <w:proofErr w:type="gramEnd"/>
      <w:r w:rsidR="00E6528A" w:rsidRPr="00C425E5">
        <w:rPr>
          <w:rFonts w:ascii="Arial" w:hAnsi="Arial" w:cs="Arial"/>
        </w:rPr>
        <w:t xml:space="preserve"> nicht </w:t>
      </w:r>
      <w:r w:rsidR="002828A2">
        <w:rPr>
          <w:rFonts w:ascii="Arial" w:hAnsi="Arial" w:cs="Arial"/>
        </w:rPr>
        <w:t>standardisiert</w:t>
      </w:r>
      <w:r w:rsidR="00807236">
        <w:rPr>
          <w:rFonts w:ascii="Arial" w:hAnsi="Arial" w:cs="Arial"/>
        </w:rPr>
        <w:t xml:space="preserve">. Ebenso </w:t>
      </w:r>
      <w:proofErr w:type="gramStart"/>
      <w:r w:rsidR="00807236">
        <w:rPr>
          <w:rFonts w:ascii="Arial" w:hAnsi="Arial" w:cs="Arial"/>
        </w:rPr>
        <w:t>kann</w:t>
      </w:r>
      <w:proofErr w:type="gramEnd"/>
      <w:r w:rsidR="00807236">
        <w:rPr>
          <w:rFonts w:ascii="Arial" w:hAnsi="Arial" w:cs="Arial"/>
        </w:rPr>
        <w:t xml:space="preserve"> die Zahl der Therapien und die Dauer der Intervalle zwischen den </w:t>
      </w:r>
      <w:r w:rsidR="002828A2">
        <w:rPr>
          <w:rFonts w:ascii="Arial" w:hAnsi="Arial" w:cs="Arial"/>
        </w:rPr>
        <w:t xml:space="preserve">Zentren, die die </w:t>
      </w:r>
      <w:r w:rsidR="00807236">
        <w:rPr>
          <w:rFonts w:ascii="Arial" w:hAnsi="Arial" w:cs="Arial"/>
        </w:rPr>
        <w:t xml:space="preserve">Therapien </w:t>
      </w:r>
      <w:r w:rsidR="002828A2">
        <w:rPr>
          <w:rFonts w:ascii="Arial" w:hAnsi="Arial" w:cs="Arial"/>
        </w:rPr>
        <w:t xml:space="preserve">durchführen, </w:t>
      </w:r>
      <w:r w:rsidR="00807236">
        <w:rPr>
          <w:rFonts w:ascii="Arial" w:hAnsi="Arial" w:cs="Arial"/>
        </w:rPr>
        <w:t>schwanken. Es ist davon auszugehen, dass eine Vielzahl unterschiedlicher Therapieprotokolle existier</w:t>
      </w:r>
      <w:r w:rsidR="00CE4D15">
        <w:rPr>
          <w:rFonts w:ascii="Arial" w:hAnsi="Arial" w:cs="Arial"/>
        </w:rPr>
        <w:t>t</w:t>
      </w:r>
      <w:r w:rsidR="00807236">
        <w:rPr>
          <w:rFonts w:ascii="Arial" w:hAnsi="Arial" w:cs="Arial"/>
        </w:rPr>
        <w:t>.</w:t>
      </w:r>
    </w:p>
    <w:p w:rsidR="00807236" w:rsidRDefault="006E30D4" w:rsidP="00807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807236" w:rsidRPr="00C629DE">
        <w:rPr>
          <w:rFonts w:ascii="Arial" w:hAnsi="Arial" w:cs="Arial"/>
        </w:rPr>
        <w:t>n einer zweiarmig</w:t>
      </w:r>
      <w:r w:rsidR="00CE4D15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multizentrischen </w:t>
      </w:r>
      <w:r w:rsidR="00CE4D15">
        <w:rPr>
          <w:rFonts w:ascii="Arial" w:hAnsi="Arial" w:cs="Arial"/>
        </w:rPr>
        <w:t>randomisierten offenen Phase-</w:t>
      </w:r>
      <w:r w:rsidR="00807236" w:rsidRPr="00C629DE">
        <w:rPr>
          <w:rFonts w:ascii="Arial" w:hAnsi="Arial" w:cs="Arial"/>
        </w:rPr>
        <w:t xml:space="preserve">III-Studie wurde die Wirksamkeit und Sicherheit der </w:t>
      </w:r>
      <w:proofErr w:type="spellStart"/>
      <w:r w:rsidR="00807236" w:rsidRPr="00C629DE">
        <w:rPr>
          <w:rFonts w:ascii="Arial" w:hAnsi="Arial" w:cs="Arial"/>
        </w:rPr>
        <w:t>Lutathera</w:t>
      </w:r>
      <w:proofErr w:type="spellEnd"/>
      <w:r w:rsidR="00807236" w:rsidRPr="00C629DE">
        <w:rPr>
          <w:rFonts w:ascii="Arial" w:hAnsi="Arial" w:cs="Arial"/>
        </w:rPr>
        <w:t xml:space="preserve">-Therapie bei 229 Patienten mit neuroendokrinen Tumoren des mittleren Gastrointestinaltraktes gezeigt (NETTER-1-Studie, </w:t>
      </w:r>
      <w:proofErr w:type="spellStart"/>
      <w:r w:rsidR="00807236" w:rsidRPr="00C629DE">
        <w:rPr>
          <w:rFonts w:ascii="Arial" w:hAnsi="Arial" w:cs="Arial"/>
        </w:rPr>
        <w:t>Strosberg</w:t>
      </w:r>
      <w:proofErr w:type="spellEnd"/>
      <w:r w:rsidR="00807236" w:rsidRPr="00C629DE">
        <w:rPr>
          <w:rFonts w:ascii="Arial" w:hAnsi="Arial" w:cs="Arial"/>
        </w:rPr>
        <w:t xml:space="preserve"> et al., N Engl J </w:t>
      </w:r>
      <w:proofErr w:type="spellStart"/>
      <w:r w:rsidR="00807236" w:rsidRPr="00C629DE">
        <w:rPr>
          <w:rFonts w:ascii="Arial" w:hAnsi="Arial" w:cs="Arial"/>
        </w:rPr>
        <w:t>Med</w:t>
      </w:r>
      <w:proofErr w:type="spellEnd"/>
      <w:r w:rsidR="00807236" w:rsidRPr="00C629DE">
        <w:rPr>
          <w:rFonts w:ascii="Arial" w:hAnsi="Arial" w:cs="Arial"/>
        </w:rPr>
        <w:t xml:space="preserve"> 2017;376:125-35). Der Vergleich erfolgte gegenüber der intramuskulären Gabe von Somatostatin-Analoga. Die publizierten Daten zeigen eine signifikante Verbesserung des progressionsfreien Überlebens (</w:t>
      </w:r>
      <w:proofErr w:type="spellStart"/>
      <w:r w:rsidR="00807236" w:rsidRPr="00C629DE">
        <w:rPr>
          <w:rFonts w:ascii="Arial" w:hAnsi="Arial" w:cs="Arial"/>
        </w:rPr>
        <w:t>Lutathera</w:t>
      </w:r>
      <w:proofErr w:type="spellEnd"/>
      <w:r w:rsidR="00807236" w:rsidRPr="00C629DE">
        <w:rPr>
          <w:rFonts w:ascii="Arial" w:hAnsi="Arial" w:cs="Arial"/>
        </w:rPr>
        <w:t>-Arm: 65,2% nach 20 Monaten; Kontroll-Arm: 10,8%) sowie eine signifikant bessere Ansprechrate (</w:t>
      </w:r>
      <w:proofErr w:type="spellStart"/>
      <w:r w:rsidR="00807236" w:rsidRPr="00C629DE">
        <w:rPr>
          <w:rFonts w:ascii="Arial" w:hAnsi="Arial" w:cs="Arial"/>
        </w:rPr>
        <w:t>Lutathera</w:t>
      </w:r>
      <w:proofErr w:type="spellEnd"/>
      <w:r w:rsidR="00807236" w:rsidRPr="00C629DE">
        <w:rPr>
          <w:rFonts w:ascii="Arial" w:hAnsi="Arial" w:cs="Arial"/>
        </w:rPr>
        <w:t xml:space="preserve">-Arm: 18%; Kontroll-Arm: 3%; p&lt;0,001). Die publizierten Überlebensdaten der geplanten Interimsanalyse zeigen signifikant weniger Todesfälle im </w:t>
      </w:r>
      <w:proofErr w:type="spellStart"/>
      <w:r w:rsidR="00807236" w:rsidRPr="00C629DE">
        <w:rPr>
          <w:rFonts w:ascii="Arial" w:hAnsi="Arial" w:cs="Arial"/>
        </w:rPr>
        <w:t>Lutathera</w:t>
      </w:r>
      <w:proofErr w:type="spellEnd"/>
      <w:r w:rsidR="00807236" w:rsidRPr="00C629DE">
        <w:rPr>
          <w:rFonts w:ascii="Arial" w:hAnsi="Arial" w:cs="Arial"/>
        </w:rPr>
        <w:t xml:space="preserve">-Arm (14 von 116 Patienten) als im Kontrollarm (26 von 113 Patienten), p=0,004. Grad 3 oder 4 Neutropenie, </w:t>
      </w:r>
      <w:proofErr w:type="spellStart"/>
      <w:r w:rsidR="00807236" w:rsidRPr="00C629DE">
        <w:rPr>
          <w:rFonts w:ascii="Arial" w:hAnsi="Arial" w:cs="Arial"/>
        </w:rPr>
        <w:t>Thrombozytopenie</w:t>
      </w:r>
      <w:proofErr w:type="spellEnd"/>
      <w:r w:rsidR="00807236" w:rsidRPr="00C629DE">
        <w:rPr>
          <w:rFonts w:ascii="Arial" w:hAnsi="Arial" w:cs="Arial"/>
        </w:rPr>
        <w:t xml:space="preserve"> und </w:t>
      </w:r>
      <w:proofErr w:type="spellStart"/>
      <w:r w:rsidR="00807236" w:rsidRPr="00C629DE">
        <w:rPr>
          <w:rFonts w:ascii="Arial" w:hAnsi="Arial" w:cs="Arial"/>
        </w:rPr>
        <w:t>Lymphopenie</w:t>
      </w:r>
      <w:proofErr w:type="spellEnd"/>
      <w:r w:rsidR="00807236" w:rsidRPr="00C629DE">
        <w:rPr>
          <w:rFonts w:ascii="Arial" w:hAnsi="Arial" w:cs="Arial"/>
        </w:rPr>
        <w:t xml:space="preserve"> wurden bei 1%, 2% bzw. 9% der </w:t>
      </w:r>
      <w:proofErr w:type="spellStart"/>
      <w:r w:rsidR="00807236" w:rsidRPr="00C629DE">
        <w:rPr>
          <w:rFonts w:ascii="Arial" w:hAnsi="Arial" w:cs="Arial"/>
        </w:rPr>
        <w:t>Lutathera</w:t>
      </w:r>
      <w:proofErr w:type="spellEnd"/>
      <w:r w:rsidR="00807236" w:rsidRPr="00C629DE">
        <w:rPr>
          <w:rFonts w:ascii="Arial" w:hAnsi="Arial" w:cs="Arial"/>
        </w:rPr>
        <w:t xml:space="preserve">-Patienten beobachtet gegenüber keiner </w:t>
      </w:r>
      <w:proofErr w:type="spellStart"/>
      <w:r w:rsidR="00807236" w:rsidRPr="00C629DE">
        <w:rPr>
          <w:rFonts w:ascii="Arial" w:hAnsi="Arial" w:cs="Arial"/>
        </w:rPr>
        <w:t>Hämatotoxizität</w:t>
      </w:r>
      <w:proofErr w:type="spellEnd"/>
      <w:r w:rsidR="00807236" w:rsidRPr="00C629DE">
        <w:rPr>
          <w:rFonts w:ascii="Arial" w:hAnsi="Arial" w:cs="Arial"/>
        </w:rPr>
        <w:t xml:space="preserve"> in der Kontrollgruppe. </w:t>
      </w:r>
    </w:p>
    <w:p w:rsidR="00807236" w:rsidRPr="006F2E3B" w:rsidRDefault="00807236" w:rsidP="00807236">
      <w:pPr>
        <w:jc w:val="both"/>
        <w:rPr>
          <w:rFonts w:ascii="Arial" w:hAnsi="Arial" w:cs="Arial"/>
        </w:rPr>
      </w:pPr>
      <w:r w:rsidRPr="00B00FEF">
        <w:rPr>
          <w:rFonts w:ascii="Arial" w:hAnsi="Arial" w:cs="Arial"/>
        </w:rPr>
        <w:t xml:space="preserve">Die empfohlene Therapie mit </w:t>
      </w:r>
      <w:proofErr w:type="spellStart"/>
      <w:r w:rsidRPr="00B00FEF">
        <w:rPr>
          <w:rFonts w:ascii="Arial" w:hAnsi="Arial" w:cs="Arial"/>
        </w:rPr>
        <w:t>Lutathera</w:t>
      </w:r>
      <w:proofErr w:type="spellEnd"/>
      <w:r w:rsidRPr="00B00FEF">
        <w:rPr>
          <w:rFonts w:ascii="Arial" w:hAnsi="Arial" w:cs="Arial"/>
          <w:vertAlign w:val="superscript"/>
        </w:rPr>
        <w:t>®</w:t>
      </w:r>
      <w:r w:rsidRPr="00B00FEF">
        <w:rPr>
          <w:rFonts w:ascii="Arial" w:hAnsi="Arial" w:cs="Arial"/>
        </w:rPr>
        <w:t xml:space="preserve"> bei Erwachsenen besteht aus vier Infusionen mit einer </w:t>
      </w:r>
      <w:r w:rsidR="00A571C4">
        <w:rPr>
          <w:rFonts w:ascii="Arial" w:hAnsi="Arial" w:cs="Arial"/>
        </w:rPr>
        <w:t>Aktivität</w:t>
      </w:r>
      <w:r w:rsidRPr="00B00FEF">
        <w:rPr>
          <w:rFonts w:ascii="Arial" w:hAnsi="Arial" w:cs="Arial"/>
        </w:rPr>
        <w:t xml:space="preserve"> von jeweils 7,4 </w:t>
      </w:r>
      <w:proofErr w:type="spellStart"/>
      <w:r w:rsidRPr="00B00FEF">
        <w:rPr>
          <w:rFonts w:ascii="Arial" w:hAnsi="Arial" w:cs="Arial"/>
        </w:rPr>
        <w:t>GBq</w:t>
      </w:r>
      <w:proofErr w:type="spellEnd"/>
      <w:r w:rsidRPr="00B00FEF">
        <w:rPr>
          <w:rFonts w:ascii="Arial" w:hAnsi="Arial" w:cs="Arial"/>
        </w:rPr>
        <w:t xml:space="preserve">. Das empfohlene Intervall zwischen den einzelnen Applikationen der Therapie beträgt 8 Wochen und kann im Falle von therapiebedingter Toxizität auf bis zu 16 Wochen ausgedehnt werden. </w:t>
      </w:r>
    </w:p>
    <w:p w:rsidR="00C629DE" w:rsidRDefault="007B77DA" w:rsidP="006F2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Seit der Zulassung ist</w:t>
      </w:r>
      <w:r w:rsidR="00807236">
        <w:rPr>
          <w:rFonts w:ascii="Arial" w:hAnsi="Arial" w:cs="Arial"/>
        </w:rPr>
        <w:t xml:space="preserve"> damit</w:t>
      </w:r>
      <w:r>
        <w:rPr>
          <w:rFonts w:ascii="Arial" w:hAnsi="Arial" w:cs="Arial"/>
        </w:rPr>
        <w:t xml:space="preserve"> </w:t>
      </w:r>
      <w:r w:rsidR="00C629D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un ein Produkt </w:t>
      </w:r>
      <w:r w:rsidR="00C629DE">
        <w:rPr>
          <w:rFonts w:ascii="Arial" w:hAnsi="Arial" w:cs="Arial"/>
        </w:rPr>
        <w:t xml:space="preserve">erhältlich, für das </w:t>
      </w:r>
    </w:p>
    <w:p w:rsidR="00807236" w:rsidRPr="00C629DE" w:rsidRDefault="00807236" w:rsidP="0080723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festes Therapieschema mit standardisierter </w:t>
      </w:r>
      <w:r w:rsidR="00A571C4">
        <w:rPr>
          <w:rFonts w:ascii="Arial" w:hAnsi="Arial" w:cs="Arial"/>
        </w:rPr>
        <w:t>Aktivität</w:t>
      </w:r>
      <w:r>
        <w:rPr>
          <w:rFonts w:ascii="Arial" w:hAnsi="Arial" w:cs="Arial"/>
        </w:rPr>
        <w:t xml:space="preserve"> existiert </w:t>
      </w:r>
    </w:p>
    <w:p w:rsidR="00C629DE" w:rsidRDefault="00C629DE" w:rsidP="00C629D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C629DE">
        <w:rPr>
          <w:rFonts w:ascii="Arial" w:hAnsi="Arial" w:cs="Arial"/>
        </w:rPr>
        <w:t>Nachweis einer Überlebens</w:t>
      </w:r>
      <w:r>
        <w:rPr>
          <w:rFonts w:ascii="Arial" w:hAnsi="Arial" w:cs="Arial"/>
        </w:rPr>
        <w:t>zeit</w:t>
      </w:r>
      <w:r w:rsidRPr="00C629DE">
        <w:rPr>
          <w:rFonts w:ascii="Arial" w:hAnsi="Arial" w:cs="Arial"/>
        </w:rPr>
        <w:t xml:space="preserve">verlängerung im Vergleich zur </w:t>
      </w:r>
      <w:r>
        <w:rPr>
          <w:rFonts w:ascii="Arial" w:hAnsi="Arial" w:cs="Arial"/>
        </w:rPr>
        <w:t>T</w:t>
      </w:r>
      <w:r w:rsidRPr="00C629DE">
        <w:rPr>
          <w:rFonts w:ascii="Arial" w:hAnsi="Arial" w:cs="Arial"/>
        </w:rPr>
        <w:t>herapie mit Somatostatin-Analoga</w:t>
      </w:r>
      <w:r>
        <w:rPr>
          <w:rFonts w:ascii="Arial" w:hAnsi="Arial" w:cs="Arial"/>
        </w:rPr>
        <w:t xml:space="preserve"> in einer randomisierten Phase-III-Studie erbracht wurde (Evidenz, </w:t>
      </w:r>
      <w:r w:rsidRPr="00C629DE">
        <w:rPr>
          <w:rFonts w:ascii="Arial" w:hAnsi="Arial" w:cs="Arial"/>
        </w:rPr>
        <w:t>Zusatznutzen</w:t>
      </w:r>
      <w:r>
        <w:rPr>
          <w:rFonts w:ascii="Arial" w:hAnsi="Arial" w:cs="Arial"/>
        </w:rPr>
        <w:t>)</w:t>
      </w:r>
      <w:r w:rsidRPr="00C629DE">
        <w:rPr>
          <w:rFonts w:ascii="Arial" w:hAnsi="Arial" w:cs="Arial"/>
          <w:highlight w:val="yellow"/>
        </w:rPr>
        <w:t xml:space="preserve"> </w:t>
      </w:r>
    </w:p>
    <w:p w:rsidR="00C629DE" w:rsidRPr="00C629DE" w:rsidRDefault="00C629DE" w:rsidP="00C629D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von einer höheren Arzneimittel</w:t>
      </w:r>
      <w:r w:rsidR="002828A2">
        <w:rPr>
          <w:rFonts w:ascii="Arial" w:hAnsi="Arial" w:cs="Arial"/>
        </w:rPr>
        <w:t>qualität</w:t>
      </w:r>
      <w:r>
        <w:rPr>
          <w:rFonts w:ascii="Arial" w:hAnsi="Arial" w:cs="Arial"/>
        </w:rPr>
        <w:t xml:space="preserve"> ausgegangen werden kann, da es </w:t>
      </w:r>
      <w:r w:rsidRPr="00C629DE">
        <w:rPr>
          <w:rFonts w:ascii="Arial" w:hAnsi="Arial" w:cs="Arial"/>
        </w:rPr>
        <w:t>unter Zulassung u</w:t>
      </w:r>
      <w:r>
        <w:rPr>
          <w:rFonts w:ascii="Arial" w:hAnsi="Arial" w:cs="Arial"/>
        </w:rPr>
        <w:t>nd damit arzneimittelrechtlicher</w:t>
      </w:r>
      <w:r w:rsidRPr="00C629DE">
        <w:rPr>
          <w:rFonts w:ascii="Arial" w:hAnsi="Arial" w:cs="Arial"/>
        </w:rPr>
        <w:t xml:space="preserve"> Herstellungserlaubnis zentral hergestellt </w:t>
      </w:r>
      <w:r>
        <w:rPr>
          <w:rFonts w:ascii="Arial" w:hAnsi="Arial" w:cs="Arial"/>
        </w:rPr>
        <w:t xml:space="preserve">wird </w:t>
      </w:r>
      <w:r w:rsidRPr="00C629DE">
        <w:rPr>
          <w:rFonts w:ascii="Arial" w:hAnsi="Arial" w:cs="Arial"/>
        </w:rPr>
        <w:t>und damit alle regulatorischen Erfordernisse</w:t>
      </w:r>
      <w:r>
        <w:rPr>
          <w:rFonts w:ascii="Arial" w:hAnsi="Arial" w:cs="Arial"/>
        </w:rPr>
        <w:t xml:space="preserve"> erfüllt</w:t>
      </w:r>
      <w:r w:rsidR="002828A2">
        <w:rPr>
          <w:rFonts w:ascii="Arial" w:hAnsi="Arial" w:cs="Arial"/>
        </w:rPr>
        <w:t>. Der pharmazeutische Hersteller ist für die Arzneimittelqualität</w:t>
      </w:r>
      <w:r>
        <w:rPr>
          <w:rFonts w:ascii="Arial" w:hAnsi="Arial" w:cs="Arial"/>
        </w:rPr>
        <w:t xml:space="preserve"> </w:t>
      </w:r>
      <w:r w:rsidR="002828A2">
        <w:rPr>
          <w:rFonts w:ascii="Arial" w:hAnsi="Arial" w:cs="Arial"/>
        </w:rPr>
        <w:t>und –</w:t>
      </w:r>
      <w:proofErr w:type="spellStart"/>
      <w:r w:rsidR="002828A2">
        <w:rPr>
          <w:rFonts w:ascii="Arial" w:hAnsi="Arial" w:cs="Arial"/>
        </w:rPr>
        <w:t>sicherheit</w:t>
      </w:r>
      <w:proofErr w:type="spellEnd"/>
      <w:r w:rsidR="002828A2">
        <w:rPr>
          <w:rFonts w:ascii="Arial" w:hAnsi="Arial" w:cs="Arial"/>
        </w:rPr>
        <w:t xml:space="preserve"> verantwortlich.</w:t>
      </w:r>
    </w:p>
    <w:p w:rsidR="00B66CE5" w:rsidRPr="0044080E" w:rsidRDefault="00B66CE5" w:rsidP="005557D2">
      <w:pPr>
        <w:rPr>
          <w:rFonts w:ascii="Arial" w:hAnsi="Arial" w:cs="Arial"/>
          <w:u w:val="single"/>
        </w:rPr>
      </w:pPr>
      <w:r w:rsidRPr="0044080E">
        <w:rPr>
          <w:rFonts w:ascii="Arial" w:hAnsi="Arial" w:cs="Arial"/>
          <w:u w:val="single"/>
        </w:rPr>
        <w:t>Mit welchem OPS wird die Methode verschlüsselt?</w:t>
      </w:r>
    </w:p>
    <w:p w:rsidR="005E5104" w:rsidRPr="005E5104" w:rsidRDefault="006F2E3B" w:rsidP="006F2E3B">
      <w:pPr>
        <w:rPr>
          <w:rFonts w:ascii="Arial" w:hAnsi="Arial" w:cs="Arial"/>
        </w:rPr>
      </w:pPr>
      <w:r w:rsidRPr="006F2E3B">
        <w:rPr>
          <w:rFonts w:ascii="Arial" w:hAnsi="Arial" w:cs="Arial"/>
        </w:rPr>
        <w:t>8-530.6</w:t>
      </w:r>
      <w:r>
        <w:rPr>
          <w:rFonts w:ascii="Arial" w:hAnsi="Arial" w:cs="Arial"/>
        </w:rPr>
        <w:t xml:space="preserve">0 </w:t>
      </w:r>
    </w:p>
    <w:p w:rsidR="002B1DF0" w:rsidRPr="009258A1" w:rsidRDefault="009258A1" w:rsidP="00B66CE5">
      <w:pPr>
        <w:rPr>
          <w:rFonts w:ascii="Arial" w:hAnsi="Arial" w:cs="Arial"/>
          <w:u w:val="single"/>
        </w:rPr>
      </w:pPr>
      <w:r w:rsidRPr="009258A1">
        <w:rPr>
          <w:rFonts w:ascii="Arial" w:hAnsi="Arial" w:cs="Arial"/>
          <w:u w:val="single"/>
        </w:rPr>
        <w:t>Anmerkungen zu den Prozeduren</w:t>
      </w:r>
    </w:p>
    <w:p w:rsidR="006F2E3B" w:rsidRPr="005E5104" w:rsidRDefault="006F2E3B" w:rsidP="001B3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OPS-Kode </w:t>
      </w:r>
      <w:r w:rsidRPr="006F2E3B">
        <w:rPr>
          <w:rFonts w:ascii="Arial" w:hAnsi="Arial" w:cs="Arial"/>
        </w:rPr>
        <w:t>8-530.6</w:t>
      </w:r>
      <w:r>
        <w:rPr>
          <w:rFonts w:ascii="Arial" w:hAnsi="Arial" w:cs="Arial"/>
        </w:rPr>
        <w:t xml:space="preserve">0 unterscheidet nicht zwischen Therapien mit dem zugelassenen Arzneimittel </w:t>
      </w:r>
      <w:proofErr w:type="spellStart"/>
      <w:r>
        <w:rPr>
          <w:rFonts w:ascii="Arial" w:hAnsi="Arial" w:cs="Arial"/>
        </w:rPr>
        <w:t>Lutathera</w:t>
      </w:r>
      <w:proofErr w:type="spellEnd"/>
      <w:r w:rsidRPr="006F2E3B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und in der </w:t>
      </w:r>
      <w:r w:rsidR="00A571C4">
        <w:rPr>
          <w:rFonts w:ascii="Arial" w:hAnsi="Arial" w:cs="Arial"/>
        </w:rPr>
        <w:t>Aktivität und damit Strahlendosis sowie</w:t>
      </w:r>
      <w:r>
        <w:rPr>
          <w:rFonts w:ascii="Arial" w:hAnsi="Arial" w:cs="Arial"/>
        </w:rPr>
        <w:t xml:space="preserve"> Herstellung heterogenen Rezepturarzneimitteln, die nach </w:t>
      </w:r>
      <w:r w:rsidRPr="006F2E3B">
        <w:rPr>
          <w:rFonts w:ascii="Arial" w:hAnsi="Arial" w:cs="Arial"/>
        </w:rPr>
        <w:t>§ 13 Abs. 2b AMG</w:t>
      </w:r>
      <w:r w:rsidR="001B3190">
        <w:rPr>
          <w:rFonts w:ascii="Arial" w:hAnsi="Arial" w:cs="Arial"/>
        </w:rPr>
        <w:t xml:space="preserve"> von Ärzten für ihre Patienten selbst </w:t>
      </w:r>
      <w:r>
        <w:rPr>
          <w:rFonts w:ascii="Arial" w:hAnsi="Arial" w:cs="Arial"/>
        </w:rPr>
        <w:t>hergestellt werden und bislang ausschließlich zum Einsatz kamen.</w:t>
      </w:r>
      <w:r w:rsidR="001B3190">
        <w:rPr>
          <w:rFonts w:ascii="Arial" w:hAnsi="Arial" w:cs="Arial"/>
        </w:rPr>
        <w:t xml:space="preserve"> Historische Daten können daher den Einsatz von </w:t>
      </w:r>
      <w:proofErr w:type="spellStart"/>
      <w:r w:rsidR="006C2FFF">
        <w:rPr>
          <w:rFonts w:ascii="Arial" w:hAnsi="Arial" w:cs="Arial"/>
        </w:rPr>
        <w:t>Lutathera</w:t>
      </w:r>
      <w:proofErr w:type="spellEnd"/>
      <w:r w:rsidR="006C2FFF" w:rsidRPr="006F2E3B">
        <w:rPr>
          <w:rFonts w:ascii="Arial" w:hAnsi="Arial" w:cs="Arial"/>
          <w:vertAlign w:val="superscript"/>
        </w:rPr>
        <w:t>®</w:t>
      </w:r>
      <w:r w:rsidR="006C2FFF">
        <w:rPr>
          <w:rFonts w:ascii="Arial" w:hAnsi="Arial" w:cs="Arial"/>
        </w:rPr>
        <w:t xml:space="preserve"> </w:t>
      </w:r>
      <w:r w:rsidR="001B3190">
        <w:rPr>
          <w:rFonts w:ascii="Arial" w:hAnsi="Arial" w:cs="Arial"/>
        </w:rPr>
        <w:t xml:space="preserve">nicht identifizieren. Auch für 2019 ist keine spezifische Abbildung mit dem OPS möglich. Zusatzkodes analog zum Einsatz von ATMPs (OPS-Klasse </w:t>
      </w:r>
      <w:r w:rsidR="001B3190" w:rsidRPr="001B3190">
        <w:rPr>
          <w:rFonts w:ascii="Arial" w:hAnsi="Arial" w:cs="Arial"/>
        </w:rPr>
        <w:t>5-936</w:t>
      </w:r>
      <w:r w:rsidR="001B3190">
        <w:rPr>
          <w:rFonts w:ascii="Arial" w:hAnsi="Arial" w:cs="Arial"/>
        </w:rPr>
        <w:t>) existieren nicht.</w:t>
      </w:r>
    </w:p>
    <w:p w:rsidR="009258A1" w:rsidRPr="00B66CE5" w:rsidRDefault="009258A1" w:rsidP="00B66CE5">
      <w:pPr>
        <w:rPr>
          <w:rFonts w:ascii="Arial" w:hAnsi="Arial" w:cs="Arial"/>
        </w:rPr>
      </w:pPr>
    </w:p>
    <w:p w:rsidR="002B1DF0" w:rsidRPr="0044080E" w:rsidRDefault="002B1DF0" w:rsidP="002B1DF0">
      <w:pPr>
        <w:rPr>
          <w:rFonts w:ascii="Arial" w:hAnsi="Arial" w:cs="Arial"/>
          <w:b/>
          <w:u w:val="single"/>
        </w:rPr>
      </w:pPr>
      <w:r w:rsidRPr="0044080E">
        <w:rPr>
          <w:rFonts w:ascii="Arial" w:hAnsi="Arial" w:cs="Arial"/>
          <w:b/>
          <w:u w:val="single"/>
        </w:rPr>
        <w:t xml:space="preserve">Blatt: </w:t>
      </w:r>
      <w:r w:rsidRPr="002B1DF0">
        <w:rPr>
          <w:rFonts w:ascii="Arial" w:hAnsi="Arial" w:cs="Arial"/>
          <w:b/>
          <w:u w:val="single"/>
        </w:rPr>
        <w:t>Methodendetails</w:t>
      </w:r>
      <w:r w:rsidRPr="0044080E">
        <w:rPr>
          <w:rFonts w:ascii="Arial" w:hAnsi="Arial" w:cs="Arial"/>
          <w:b/>
          <w:u w:val="single"/>
        </w:rPr>
        <w:t>:</w:t>
      </w:r>
    </w:p>
    <w:p w:rsidR="002B1DF0" w:rsidRDefault="002B1DF0" w:rsidP="00B66CE5">
      <w:pPr>
        <w:rPr>
          <w:rFonts w:ascii="Arial" w:hAnsi="Arial" w:cs="Arial"/>
        </w:rPr>
      </w:pPr>
      <w:r w:rsidRPr="002B1DF0">
        <w:rPr>
          <w:rFonts w:ascii="Arial" w:hAnsi="Arial" w:cs="Arial"/>
          <w:u w:val="single"/>
        </w:rPr>
        <w:t>Bei welche</w:t>
      </w:r>
      <w:r w:rsidR="00614958">
        <w:rPr>
          <w:rFonts w:ascii="Arial" w:hAnsi="Arial" w:cs="Arial"/>
          <w:u w:val="single"/>
        </w:rPr>
        <w:t>n</w:t>
      </w:r>
      <w:r w:rsidRPr="002B1DF0">
        <w:rPr>
          <w:rFonts w:ascii="Arial" w:hAnsi="Arial" w:cs="Arial"/>
          <w:u w:val="single"/>
        </w:rPr>
        <w:t xml:space="preserve"> Patienten wird die M</w:t>
      </w:r>
      <w:r>
        <w:rPr>
          <w:rFonts w:ascii="Arial" w:hAnsi="Arial" w:cs="Arial"/>
          <w:u w:val="single"/>
        </w:rPr>
        <w:t>ethode angewandt (Indikation)?</w:t>
      </w:r>
    </w:p>
    <w:p w:rsidR="003A17DF" w:rsidRDefault="00CE4D15" w:rsidP="003A17DF">
      <w:pPr>
        <w:jc w:val="both"/>
      </w:pPr>
      <w:proofErr w:type="spellStart"/>
      <w:r>
        <w:rPr>
          <w:rFonts w:ascii="Arial" w:hAnsi="Arial" w:cs="Arial"/>
        </w:rPr>
        <w:t>Lutathera</w:t>
      </w:r>
      <w:proofErr w:type="spellEnd"/>
      <w:r w:rsidRPr="006F2E3B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r w:rsidR="001B3190" w:rsidRPr="00802F91">
        <w:rPr>
          <w:rFonts w:ascii="Arial" w:hAnsi="Arial" w:cs="Arial"/>
        </w:rPr>
        <w:t xml:space="preserve">ist </w:t>
      </w:r>
      <w:r w:rsidR="00802F91" w:rsidRPr="00802F91">
        <w:rPr>
          <w:rFonts w:ascii="Arial" w:hAnsi="Arial" w:cs="Arial"/>
        </w:rPr>
        <w:t xml:space="preserve">zur </w:t>
      </w:r>
      <w:r w:rsidR="001B3190" w:rsidRPr="00802F91">
        <w:rPr>
          <w:rFonts w:ascii="Arial" w:hAnsi="Arial" w:cs="Arial"/>
        </w:rPr>
        <w:t xml:space="preserve">Behandlung von </w:t>
      </w:r>
      <w:r w:rsidR="00802F91" w:rsidRPr="00802F91">
        <w:rPr>
          <w:rFonts w:ascii="Arial" w:hAnsi="Arial" w:cs="Arial"/>
        </w:rPr>
        <w:t xml:space="preserve">nicht </w:t>
      </w:r>
      <w:proofErr w:type="spellStart"/>
      <w:r w:rsidR="00802F91" w:rsidRPr="00802F91">
        <w:rPr>
          <w:rFonts w:ascii="Arial" w:hAnsi="Arial" w:cs="Arial"/>
        </w:rPr>
        <w:t>resezierbaren</w:t>
      </w:r>
      <w:proofErr w:type="spellEnd"/>
      <w:r w:rsidR="00802F91" w:rsidRPr="00802F91">
        <w:rPr>
          <w:rFonts w:ascii="Arial" w:hAnsi="Arial" w:cs="Arial"/>
        </w:rPr>
        <w:t xml:space="preserve"> oder metastatischen, progressiven, gut differenzierten (G1 und G2) </w:t>
      </w:r>
      <w:proofErr w:type="spellStart"/>
      <w:r w:rsidR="00802F91" w:rsidRPr="00802F91">
        <w:rPr>
          <w:rFonts w:ascii="Arial" w:hAnsi="Arial" w:cs="Arial"/>
        </w:rPr>
        <w:t>Somatostatinrezeptor</w:t>
      </w:r>
      <w:proofErr w:type="spellEnd"/>
      <w:r w:rsidR="00802F91" w:rsidRPr="00802F91">
        <w:rPr>
          <w:rFonts w:ascii="Arial" w:hAnsi="Arial" w:cs="Arial"/>
        </w:rPr>
        <w:t xml:space="preserve">-positiven </w:t>
      </w:r>
      <w:proofErr w:type="spellStart"/>
      <w:r w:rsidR="00802F91" w:rsidRPr="00802F91">
        <w:rPr>
          <w:rFonts w:ascii="Arial" w:hAnsi="Arial" w:cs="Arial"/>
        </w:rPr>
        <w:t>gastroenteropankreatischen</w:t>
      </w:r>
      <w:proofErr w:type="spellEnd"/>
      <w:r w:rsidR="00802F91" w:rsidRPr="00802F91">
        <w:rPr>
          <w:rFonts w:ascii="Arial" w:hAnsi="Arial" w:cs="Arial"/>
        </w:rPr>
        <w:t xml:space="preserve"> neuroendokrinen Tumoren (GEP-NETs) bei Erwachsenen zugelassen.</w:t>
      </w:r>
      <w:r w:rsidR="003A17DF" w:rsidRPr="003A17DF">
        <w:t xml:space="preserve"> </w:t>
      </w:r>
    </w:p>
    <w:p w:rsidR="004C2112" w:rsidRPr="003A17DF" w:rsidRDefault="003A17DF" w:rsidP="003A17DF">
      <w:pPr>
        <w:jc w:val="both"/>
        <w:rPr>
          <w:rFonts w:ascii="Arial" w:hAnsi="Arial" w:cs="Arial"/>
        </w:rPr>
      </w:pPr>
      <w:r w:rsidRPr="003A17DF">
        <w:rPr>
          <w:rFonts w:ascii="Arial" w:hAnsi="Arial" w:cs="Arial"/>
        </w:rPr>
        <w:lastRenderedPageBreak/>
        <w:t xml:space="preserve">Da es nur wenige Patienten mit GEP-NETs gibt, </w:t>
      </w:r>
      <w:r w:rsidR="00CE4D15" w:rsidRPr="003A17DF">
        <w:rPr>
          <w:rFonts w:ascii="Arial" w:hAnsi="Arial" w:cs="Arial"/>
        </w:rPr>
        <w:t xml:space="preserve">wurde </w:t>
      </w:r>
      <w:proofErr w:type="spellStart"/>
      <w:r w:rsidR="00CE4D15">
        <w:rPr>
          <w:rFonts w:ascii="Arial" w:hAnsi="Arial" w:cs="Arial"/>
        </w:rPr>
        <w:t>Lutathera</w:t>
      </w:r>
      <w:proofErr w:type="spellEnd"/>
      <w:r w:rsidR="00CE4D15" w:rsidRPr="006F2E3B">
        <w:rPr>
          <w:rFonts w:ascii="Arial" w:hAnsi="Arial" w:cs="Arial"/>
          <w:vertAlign w:val="superscript"/>
        </w:rPr>
        <w:t>®</w:t>
      </w:r>
      <w:r w:rsidR="00CE4D15">
        <w:rPr>
          <w:rFonts w:ascii="Arial" w:hAnsi="Arial" w:cs="Arial"/>
        </w:rPr>
        <w:t xml:space="preserve"> </w:t>
      </w:r>
      <w:r w:rsidRPr="003A17DF">
        <w:rPr>
          <w:rFonts w:ascii="Arial" w:hAnsi="Arial" w:cs="Arial"/>
        </w:rPr>
        <w:t>als Arzneimittel für seltene Leiden („</w:t>
      </w:r>
      <w:proofErr w:type="spellStart"/>
      <w:r w:rsidR="006E291D">
        <w:rPr>
          <w:rFonts w:ascii="Arial" w:hAnsi="Arial" w:cs="Arial"/>
        </w:rPr>
        <w:t>O</w:t>
      </w:r>
      <w:r w:rsidR="006E291D" w:rsidRPr="003A17DF">
        <w:rPr>
          <w:rFonts w:ascii="Arial" w:hAnsi="Arial" w:cs="Arial"/>
        </w:rPr>
        <w:t>rphan</w:t>
      </w:r>
      <w:proofErr w:type="spellEnd"/>
      <w:r w:rsidR="006E291D" w:rsidRPr="003A17DF">
        <w:rPr>
          <w:rFonts w:ascii="Arial" w:hAnsi="Arial" w:cs="Arial"/>
        </w:rPr>
        <w:t xml:space="preserve"> </w:t>
      </w:r>
      <w:r w:rsidR="006E291D">
        <w:rPr>
          <w:rFonts w:ascii="Arial" w:hAnsi="Arial" w:cs="Arial"/>
        </w:rPr>
        <w:t>D</w:t>
      </w:r>
      <w:r w:rsidR="006E291D" w:rsidRPr="003A17DF">
        <w:rPr>
          <w:rFonts w:ascii="Arial" w:hAnsi="Arial" w:cs="Arial"/>
        </w:rPr>
        <w:t xml:space="preserve">rug </w:t>
      </w:r>
      <w:r w:rsidR="006E291D">
        <w:rPr>
          <w:rFonts w:ascii="Arial" w:hAnsi="Arial" w:cs="Arial"/>
        </w:rPr>
        <w:t>D</w:t>
      </w:r>
      <w:r w:rsidR="006E291D" w:rsidRPr="003A17DF">
        <w:rPr>
          <w:rFonts w:ascii="Arial" w:hAnsi="Arial" w:cs="Arial"/>
        </w:rPr>
        <w:t>esignation</w:t>
      </w:r>
      <w:r w:rsidRPr="003A17DF">
        <w:rPr>
          <w:rFonts w:ascii="Arial" w:hAnsi="Arial" w:cs="Arial"/>
        </w:rPr>
        <w:t>“) ausgewiesen.</w:t>
      </w:r>
    </w:p>
    <w:p w:rsidR="008B4BAC" w:rsidRDefault="008B4BAC" w:rsidP="008B4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Pr="00C425E5">
        <w:rPr>
          <w:rFonts w:ascii="Arial" w:hAnsi="Arial" w:cs="Arial"/>
        </w:rPr>
        <w:t xml:space="preserve">Radiorezeptortherapie mit DOTA-konjugierten </w:t>
      </w:r>
      <w:proofErr w:type="spellStart"/>
      <w:r w:rsidRPr="00C425E5">
        <w:rPr>
          <w:rFonts w:ascii="Arial" w:hAnsi="Arial" w:cs="Arial"/>
        </w:rPr>
        <w:t>Somatostatinanaloga</w:t>
      </w:r>
      <w:proofErr w:type="spellEnd"/>
      <w:r>
        <w:rPr>
          <w:rFonts w:ascii="Arial" w:hAnsi="Arial" w:cs="Arial"/>
        </w:rPr>
        <w:t xml:space="preserve"> wird in seltenen Fällen auch bei </w:t>
      </w:r>
      <w:r w:rsidR="006E291D">
        <w:rPr>
          <w:rFonts w:ascii="Arial" w:hAnsi="Arial" w:cs="Arial"/>
        </w:rPr>
        <w:t xml:space="preserve">anderen Tumoren mit </w:t>
      </w:r>
      <w:proofErr w:type="spellStart"/>
      <w:r w:rsidR="006E291D">
        <w:rPr>
          <w:rFonts w:ascii="Arial" w:hAnsi="Arial" w:cs="Arial"/>
        </w:rPr>
        <w:t>Somatostatinrezeptorexpression</w:t>
      </w:r>
      <w:proofErr w:type="spellEnd"/>
      <w:r w:rsidR="006E291D">
        <w:rPr>
          <w:rFonts w:ascii="Arial" w:hAnsi="Arial" w:cs="Arial"/>
        </w:rPr>
        <w:t xml:space="preserve"> </w:t>
      </w:r>
      <w:r w:rsidR="003A17DF">
        <w:rPr>
          <w:rFonts w:ascii="Arial" w:hAnsi="Arial" w:cs="Arial"/>
        </w:rPr>
        <w:t xml:space="preserve">im individuellen Heilversuch </w:t>
      </w:r>
      <w:r>
        <w:rPr>
          <w:rFonts w:ascii="Arial" w:hAnsi="Arial" w:cs="Arial"/>
        </w:rPr>
        <w:t xml:space="preserve">einsetzt. </w:t>
      </w:r>
    </w:p>
    <w:p w:rsidR="002B1DF0" w:rsidRPr="002B1DF0" w:rsidRDefault="002B1DF0" w:rsidP="005557D2">
      <w:pPr>
        <w:jc w:val="both"/>
        <w:rPr>
          <w:rFonts w:ascii="Arial" w:hAnsi="Arial" w:cs="Arial"/>
          <w:u w:val="single"/>
        </w:rPr>
      </w:pPr>
      <w:r w:rsidRPr="002B1DF0">
        <w:rPr>
          <w:rFonts w:ascii="Arial" w:hAnsi="Arial" w:cs="Arial"/>
          <w:u w:val="single"/>
        </w:rPr>
        <w:t>Welche bestehende Methode wird durch die neue Methode abgelöst oder ergänzt?</w:t>
      </w:r>
    </w:p>
    <w:p w:rsidR="002828A2" w:rsidRDefault="002828A2" w:rsidP="002828A2">
      <w:pPr>
        <w:rPr>
          <w:rFonts w:ascii="Arial" w:hAnsi="Arial" w:cs="Arial"/>
        </w:rPr>
      </w:pPr>
      <w:r>
        <w:rPr>
          <w:rFonts w:ascii="Arial" w:hAnsi="Arial" w:cs="Arial"/>
        </w:rPr>
        <w:t>Sobald eine sachgerechte Vergütung etabliert wird,</w:t>
      </w:r>
      <w:r w:rsidRPr="00282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wird </w:t>
      </w:r>
      <w:proofErr w:type="spellStart"/>
      <w:r w:rsidRPr="002828A2">
        <w:rPr>
          <w:rFonts w:ascii="Arial" w:hAnsi="Arial" w:cs="Arial"/>
        </w:rPr>
        <w:t>Lutathera</w:t>
      </w:r>
      <w:proofErr w:type="spellEnd"/>
      <w:r w:rsidRPr="002828A2">
        <w:rPr>
          <w:rFonts w:ascii="Arial" w:hAnsi="Arial" w:cs="Arial"/>
          <w:vertAlign w:val="superscript"/>
        </w:rPr>
        <w:t>®</w:t>
      </w:r>
      <w:r w:rsidRPr="002828A2">
        <w:rPr>
          <w:rFonts w:ascii="Arial" w:hAnsi="Arial" w:cs="Arial"/>
        </w:rPr>
        <w:t xml:space="preserve"> </w:t>
      </w:r>
      <w:r w:rsidRPr="00C425E5">
        <w:rPr>
          <w:rFonts w:ascii="Arial" w:hAnsi="Arial" w:cs="Arial"/>
        </w:rPr>
        <w:t xml:space="preserve">den bisher üblichen Einsatz von DOTA-konjugierten </w:t>
      </w:r>
      <w:proofErr w:type="spellStart"/>
      <w:r w:rsidRPr="00C425E5">
        <w:rPr>
          <w:rFonts w:ascii="Arial" w:hAnsi="Arial" w:cs="Arial"/>
        </w:rPr>
        <w:t>Somatostatinanaloga</w:t>
      </w:r>
      <w:proofErr w:type="spellEnd"/>
      <w:r w:rsidRPr="00C425E5">
        <w:rPr>
          <w:rFonts w:ascii="Arial" w:hAnsi="Arial" w:cs="Arial"/>
        </w:rPr>
        <w:t xml:space="preserve"> aus Eigenherstellung nach §13 Abs. 2b AMG</w:t>
      </w:r>
      <w:r w:rsidRPr="00CE4D15">
        <w:rPr>
          <w:rFonts w:ascii="Arial" w:hAnsi="Arial" w:cs="Arial"/>
        </w:rPr>
        <w:t xml:space="preserve"> </w:t>
      </w:r>
      <w:r w:rsidRPr="00C425E5">
        <w:rPr>
          <w:rFonts w:ascii="Arial" w:hAnsi="Arial" w:cs="Arial"/>
        </w:rPr>
        <w:t>ersetz</w:t>
      </w:r>
      <w:r>
        <w:rPr>
          <w:rFonts w:ascii="Arial" w:hAnsi="Arial" w:cs="Arial"/>
        </w:rPr>
        <w:t>en</w:t>
      </w:r>
      <w:r w:rsidRPr="00C425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Derzeit geht vom Einsatz </w:t>
      </w:r>
      <w:r w:rsidRPr="00C425E5">
        <w:rPr>
          <w:rFonts w:ascii="Arial" w:hAnsi="Arial" w:cs="Arial"/>
        </w:rPr>
        <w:t xml:space="preserve">von DOTA-konjugierten </w:t>
      </w:r>
      <w:proofErr w:type="spellStart"/>
      <w:r w:rsidRPr="00C425E5">
        <w:rPr>
          <w:rFonts w:ascii="Arial" w:hAnsi="Arial" w:cs="Arial"/>
        </w:rPr>
        <w:t>Somatostatinanaloga</w:t>
      </w:r>
      <w:proofErr w:type="spellEnd"/>
      <w:r w:rsidRPr="00C425E5">
        <w:rPr>
          <w:rFonts w:ascii="Arial" w:hAnsi="Arial" w:cs="Arial"/>
        </w:rPr>
        <w:t xml:space="preserve"> aus Eigenherstellung nach §13 Abs. 2b AMG</w:t>
      </w:r>
      <w:r>
        <w:rPr>
          <w:rFonts w:ascii="Arial" w:hAnsi="Arial" w:cs="Arial"/>
        </w:rPr>
        <w:t xml:space="preserve"> eine haftungsrechtliche Gefahr für die behandelnden Ärzte und Krankenhäuser aus und Patienten müssten eigentlich über das Vorhandensein einer zugelassenen Alternative informiert werden.</w:t>
      </w:r>
    </w:p>
    <w:p w:rsidR="002B1DF0" w:rsidRPr="002B1DF0" w:rsidRDefault="002B1DF0" w:rsidP="005557D2">
      <w:pPr>
        <w:rPr>
          <w:rFonts w:ascii="Arial" w:hAnsi="Arial" w:cs="Arial"/>
          <w:u w:val="single"/>
        </w:rPr>
      </w:pPr>
      <w:r w:rsidRPr="002B1DF0">
        <w:rPr>
          <w:rFonts w:ascii="Arial" w:hAnsi="Arial" w:cs="Arial"/>
          <w:u w:val="single"/>
        </w:rPr>
        <w:t xml:space="preserve">Ist die Methode vollständig oder in Teilen neu und warum handelt es sich um eine neue Untersuchungs- und Behandlungsmethode? </w:t>
      </w:r>
    </w:p>
    <w:p w:rsidR="00D016ED" w:rsidRPr="00D016ED" w:rsidRDefault="00601814" w:rsidP="00D016ED">
      <w:pPr>
        <w:rPr>
          <w:rFonts w:ascii="Arial" w:hAnsi="Arial" w:cs="Arial"/>
        </w:rPr>
      </w:pPr>
      <w:r w:rsidRPr="00C425E5">
        <w:rPr>
          <w:rFonts w:ascii="Arial" w:hAnsi="Arial" w:cs="Arial"/>
        </w:rPr>
        <w:t xml:space="preserve">Insgesamt handelt es sich bei der nuklearmedizinischen </w:t>
      </w:r>
      <w:r w:rsidR="008B4BAC" w:rsidRPr="00C425E5">
        <w:rPr>
          <w:rFonts w:ascii="Arial" w:hAnsi="Arial" w:cs="Arial"/>
        </w:rPr>
        <w:t xml:space="preserve">Radiorezeptortherapie mit DOTA-konjugierten </w:t>
      </w:r>
      <w:proofErr w:type="spellStart"/>
      <w:r w:rsidR="008B4BAC" w:rsidRPr="00C425E5">
        <w:rPr>
          <w:rFonts w:ascii="Arial" w:hAnsi="Arial" w:cs="Arial"/>
        </w:rPr>
        <w:t>Somatostatinanaloga</w:t>
      </w:r>
      <w:proofErr w:type="spellEnd"/>
      <w:r w:rsidR="008B4BAC" w:rsidRPr="00C425E5">
        <w:rPr>
          <w:rFonts w:ascii="Arial" w:hAnsi="Arial" w:cs="Arial"/>
        </w:rPr>
        <w:t xml:space="preserve"> </w:t>
      </w:r>
      <w:r w:rsidR="008B4BAC">
        <w:rPr>
          <w:rFonts w:ascii="Arial" w:hAnsi="Arial" w:cs="Arial"/>
        </w:rPr>
        <w:t xml:space="preserve">bereits </w:t>
      </w:r>
      <w:r w:rsidRPr="00C425E5">
        <w:rPr>
          <w:rFonts w:ascii="Arial" w:hAnsi="Arial" w:cs="Arial"/>
        </w:rPr>
        <w:t xml:space="preserve">um eine innovative Therapie, für die allerdings </w:t>
      </w:r>
      <w:r w:rsidR="008B4BAC">
        <w:rPr>
          <w:rFonts w:ascii="Arial" w:hAnsi="Arial" w:cs="Arial"/>
        </w:rPr>
        <w:t>schon</w:t>
      </w:r>
      <w:r w:rsidRPr="00C425E5">
        <w:rPr>
          <w:rFonts w:ascii="Arial" w:hAnsi="Arial" w:cs="Arial"/>
        </w:rPr>
        <w:t xml:space="preserve"> ein Zusatzentgelt etabliert wurde (ZE2018-71). </w:t>
      </w:r>
      <w:r w:rsidR="00C425E5" w:rsidRPr="00C425E5">
        <w:rPr>
          <w:rFonts w:ascii="Arial" w:hAnsi="Arial" w:cs="Arial"/>
        </w:rPr>
        <w:t xml:space="preserve">Neu ist, dass erstmalig ein </w:t>
      </w:r>
      <w:r w:rsidR="001B3190" w:rsidRPr="00C425E5">
        <w:rPr>
          <w:rFonts w:ascii="Arial" w:hAnsi="Arial" w:cs="Arial"/>
        </w:rPr>
        <w:t>D</w:t>
      </w:r>
      <w:r w:rsidR="00C425E5" w:rsidRPr="00C425E5">
        <w:rPr>
          <w:rFonts w:ascii="Arial" w:hAnsi="Arial" w:cs="Arial"/>
        </w:rPr>
        <w:t xml:space="preserve">OTA-konjugiertes </w:t>
      </w:r>
      <w:proofErr w:type="spellStart"/>
      <w:r w:rsidR="00C425E5" w:rsidRPr="00C425E5">
        <w:rPr>
          <w:rFonts w:ascii="Arial" w:hAnsi="Arial" w:cs="Arial"/>
        </w:rPr>
        <w:t>Somatostatinanalogon</w:t>
      </w:r>
      <w:proofErr w:type="spellEnd"/>
      <w:r w:rsidR="001B3190" w:rsidRPr="00C425E5">
        <w:rPr>
          <w:rFonts w:ascii="Arial" w:hAnsi="Arial" w:cs="Arial"/>
        </w:rPr>
        <w:t xml:space="preserve"> </w:t>
      </w:r>
      <w:r w:rsidR="00C425E5">
        <w:rPr>
          <w:rFonts w:ascii="Arial" w:hAnsi="Arial" w:cs="Arial"/>
        </w:rPr>
        <w:t xml:space="preserve">mit standardisierter </w:t>
      </w:r>
      <w:r w:rsidR="00B7748F">
        <w:rPr>
          <w:rFonts w:ascii="Arial" w:hAnsi="Arial" w:cs="Arial"/>
        </w:rPr>
        <w:t>Aktivität und damit Strahlendosis</w:t>
      </w:r>
      <w:r w:rsidR="00D016ED">
        <w:rPr>
          <w:rFonts w:ascii="Arial" w:hAnsi="Arial" w:cs="Arial"/>
        </w:rPr>
        <w:t xml:space="preserve"> seine Effektivität in einer randomisierten kontrollierten Phase-</w:t>
      </w:r>
      <w:r w:rsidR="00D016ED" w:rsidRPr="00C629DE">
        <w:rPr>
          <w:rFonts w:ascii="Arial" w:hAnsi="Arial" w:cs="Arial"/>
        </w:rPr>
        <w:t>III-Studie</w:t>
      </w:r>
      <w:r w:rsidR="00B7748F">
        <w:rPr>
          <w:rFonts w:ascii="Arial" w:hAnsi="Arial" w:cs="Arial"/>
        </w:rPr>
        <w:t xml:space="preserve"> </w:t>
      </w:r>
      <w:r w:rsidR="00D016ED">
        <w:rPr>
          <w:rFonts w:ascii="Arial" w:hAnsi="Arial" w:cs="Arial"/>
        </w:rPr>
        <w:t xml:space="preserve">bewiesen hat und </w:t>
      </w:r>
      <w:r w:rsidR="00D016ED" w:rsidRPr="00C425E5">
        <w:rPr>
          <w:rFonts w:ascii="Arial" w:hAnsi="Arial" w:cs="Arial"/>
        </w:rPr>
        <w:t xml:space="preserve">arzneimittelrechtlich </w:t>
      </w:r>
      <w:r w:rsidR="001B3190" w:rsidRPr="00C425E5">
        <w:rPr>
          <w:rFonts w:ascii="Arial" w:hAnsi="Arial" w:cs="Arial"/>
        </w:rPr>
        <w:t xml:space="preserve">zugelassen </w:t>
      </w:r>
      <w:r w:rsidR="00C425E5" w:rsidRPr="00C425E5">
        <w:rPr>
          <w:rFonts w:ascii="Arial" w:hAnsi="Arial" w:cs="Arial"/>
        </w:rPr>
        <w:t>wurde</w:t>
      </w:r>
      <w:r w:rsidR="001B3190" w:rsidRPr="00C425E5">
        <w:rPr>
          <w:rFonts w:ascii="Arial" w:hAnsi="Arial" w:cs="Arial"/>
        </w:rPr>
        <w:t xml:space="preserve">. </w:t>
      </w:r>
      <w:r w:rsidR="00D016ED">
        <w:rPr>
          <w:rFonts w:ascii="Arial" w:hAnsi="Arial" w:cs="Arial"/>
        </w:rPr>
        <w:t xml:space="preserve">Es liegt die Evidenz für eine </w:t>
      </w:r>
      <w:r w:rsidR="00D016ED" w:rsidRPr="00C629DE">
        <w:rPr>
          <w:rFonts w:ascii="Arial" w:hAnsi="Arial" w:cs="Arial"/>
        </w:rPr>
        <w:t>Überlebens</w:t>
      </w:r>
      <w:r w:rsidR="00D016ED">
        <w:rPr>
          <w:rFonts w:ascii="Arial" w:hAnsi="Arial" w:cs="Arial"/>
        </w:rPr>
        <w:t>zeit</w:t>
      </w:r>
      <w:r w:rsidR="00D016ED" w:rsidRPr="00C629DE">
        <w:rPr>
          <w:rFonts w:ascii="Arial" w:hAnsi="Arial" w:cs="Arial"/>
        </w:rPr>
        <w:t>verlängerung</w:t>
      </w:r>
      <w:r w:rsidR="00D016ED">
        <w:rPr>
          <w:rFonts w:ascii="Arial" w:hAnsi="Arial" w:cs="Arial"/>
        </w:rPr>
        <w:t xml:space="preserve"> vor und von einem Zusatznutzen kann ausgegangen werden. </w:t>
      </w:r>
      <w:r w:rsidR="00C425E5" w:rsidRPr="00C425E5">
        <w:rPr>
          <w:rFonts w:ascii="Arial" w:hAnsi="Arial" w:cs="Arial"/>
        </w:rPr>
        <w:t xml:space="preserve">Die </w:t>
      </w:r>
      <w:r w:rsidR="00D016ED">
        <w:rPr>
          <w:rFonts w:ascii="Arial" w:hAnsi="Arial" w:cs="Arial"/>
        </w:rPr>
        <w:t xml:space="preserve">Anzahl der Applikationen und die Aktivität der </w:t>
      </w:r>
      <w:r w:rsidR="00C425E5">
        <w:rPr>
          <w:rFonts w:ascii="Arial" w:hAnsi="Arial" w:cs="Arial"/>
        </w:rPr>
        <w:t>Strahlendos</w:t>
      </w:r>
      <w:r w:rsidR="00D016ED">
        <w:rPr>
          <w:rFonts w:ascii="Arial" w:hAnsi="Arial" w:cs="Arial"/>
        </w:rPr>
        <w:t>en</w:t>
      </w:r>
      <w:r w:rsidR="00C425E5" w:rsidRPr="00C425E5">
        <w:rPr>
          <w:rFonts w:ascii="Arial" w:hAnsi="Arial" w:cs="Arial"/>
        </w:rPr>
        <w:t xml:space="preserve"> der verschiedenen zulassungsfreien Präparate aus Eigenherstellung ist nicht fest vorgegeben und obliegt der Entscheidung des herstellenden Arztes</w:t>
      </w:r>
      <w:r w:rsidR="006C2FFF">
        <w:rPr>
          <w:rFonts w:ascii="Arial" w:hAnsi="Arial" w:cs="Arial"/>
        </w:rPr>
        <w:t>.</w:t>
      </w:r>
      <w:bookmarkStart w:id="0" w:name="_GoBack"/>
      <w:r w:rsidR="00D016ED" w:rsidRPr="00F129B8">
        <w:rPr>
          <w:rFonts w:ascii="Arial" w:hAnsi="Arial" w:cs="Arial"/>
        </w:rPr>
        <w:t xml:space="preserve"> </w:t>
      </w:r>
      <w:bookmarkEnd w:id="0"/>
    </w:p>
    <w:p w:rsidR="00B66CE5" w:rsidRPr="002B1DF0" w:rsidRDefault="00B66CE5" w:rsidP="00D4705C">
      <w:pPr>
        <w:rPr>
          <w:rFonts w:ascii="Arial" w:hAnsi="Arial" w:cs="Arial"/>
          <w:u w:val="single"/>
        </w:rPr>
      </w:pPr>
      <w:r w:rsidRPr="002B1DF0">
        <w:rPr>
          <w:rFonts w:ascii="Arial" w:hAnsi="Arial" w:cs="Arial"/>
          <w:u w:val="single"/>
        </w:rPr>
        <w:t xml:space="preserve">Welche Auswirkungen </w:t>
      </w:r>
      <w:proofErr w:type="gramStart"/>
      <w:r w:rsidRPr="002B1DF0">
        <w:rPr>
          <w:rFonts w:ascii="Arial" w:hAnsi="Arial" w:cs="Arial"/>
          <w:u w:val="single"/>
        </w:rPr>
        <w:t>hat</w:t>
      </w:r>
      <w:proofErr w:type="gramEnd"/>
      <w:r w:rsidRPr="002B1DF0">
        <w:rPr>
          <w:rFonts w:ascii="Arial" w:hAnsi="Arial" w:cs="Arial"/>
          <w:u w:val="single"/>
        </w:rPr>
        <w:t xml:space="preserve"> die Methode auf die Verweildauer im Krankenhaus?</w:t>
      </w:r>
    </w:p>
    <w:p w:rsidR="00601814" w:rsidRDefault="00B00FEF" w:rsidP="00601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stationäre Aufnahme erfolgt in der Regel gezielt zur Infusion mit </w:t>
      </w:r>
      <w:proofErr w:type="spellStart"/>
      <w:r>
        <w:rPr>
          <w:rFonts w:ascii="Arial" w:hAnsi="Arial" w:cs="Arial"/>
        </w:rPr>
        <w:t>Lutathera</w:t>
      </w:r>
      <w:proofErr w:type="spellEnd"/>
      <w:r w:rsidRPr="006F2E3B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. </w:t>
      </w:r>
      <w:r w:rsidRPr="00B00FEF">
        <w:rPr>
          <w:rFonts w:ascii="Arial" w:hAnsi="Arial" w:cs="Arial"/>
        </w:rPr>
        <w:t>Die Therapie darf aus Gründen des Strahlenschutzes nur stationär in spezialisierten Abteilungen (nuklearmedizinische Therapiestationen mit Abwasserabklinganlagen) durchgeführt werden.</w:t>
      </w:r>
      <w:r>
        <w:rPr>
          <w:rFonts w:ascii="Arial" w:hAnsi="Arial" w:cs="Arial"/>
        </w:rPr>
        <w:t xml:space="preserve"> Die Verweildauer richtet sich nach </w:t>
      </w:r>
      <w:r w:rsidR="00601814">
        <w:rPr>
          <w:rFonts w:ascii="Arial" w:hAnsi="Arial" w:cs="Arial"/>
        </w:rPr>
        <w:t xml:space="preserve">dem Verlauf der Ortsdosisleistung. Es erfolgen insgesamt vier Therapiezyklen. </w:t>
      </w:r>
    </w:p>
    <w:p w:rsidR="00B66CE5" w:rsidRDefault="00601814" w:rsidP="00CE4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Vergleich zu der bislang erfolgenden Therapie mit individuell nach </w:t>
      </w:r>
      <w:r w:rsidRPr="006F2E3B">
        <w:rPr>
          <w:rFonts w:ascii="Arial" w:hAnsi="Arial" w:cs="Arial"/>
        </w:rPr>
        <w:t>§ 13 Abs. 2b AMG</w:t>
      </w:r>
      <w:r>
        <w:rPr>
          <w:rFonts w:ascii="Arial" w:hAnsi="Arial" w:cs="Arial"/>
        </w:rPr>
        <w:t xml:space="preserve"> von Ärzten hergestellte</w:t>
      </w:r>
      <w:r w:rsidR="0015198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Lu-177-</w:t>
      </w:r>
      <w:r w:rsidRPr="00601814">
        <w:rPr>
          <w:rFonts w:ascii="Arial" w:hAnsi="Arial" w:cs="Arial"/>
        </w:rPr>
        <w:t xml:space="preserve">DOTA-konjugierten </w:t>
      </w:r>
      <w:proofErr w:type="spellStart"/>
      <w:r w:rsidRPr="00601814">
        <w:rPr>
          <w:rFonts w:ascii="Arial" w:hAnsi="Arial" w:cs="Arial"/>
        </w:rPr>
        <w:t>Somatostatinanaloga</w:t>
      </w:r>
      <w:proofErr w:type="spellEnd"/>
      <w:r>
        <w:rPr>
          <w:rFonts w:ascii="Arial" w:hAnsi="Arial" w:cs="Arial"/>
        </w:rPr>
        <w:t xml:space="preserve"> ist kein systematischer Einfluss auf die Verweildauer </w:t>
      </w:r>
      <w:r w:rsidR="00CE4D15">
        <w:rPr>
          <w:rFonts w:ascii="Arial" w:hAnsi="Arial" w:cs="Arial"/>
        </w:rPr>
        <w:t xml:space="preserve">in Bezug auf den einzelnen Aufenthalt </w:t>
      </w:r>
      <w:r>
        <w:rPr>
          <w:rFonts w:ascii="Arial" w:hAnsi="Arial" w:cs="Arial"/>
        </w:rPr>
        <w:t xml:space="preserve">zu erwarten. Allerdings variieren die individuell nach </w:t>
      </w:r>
      <w:r w:rsidRPr="006F2E3B">
        <w:rPr>
          <w:rFonts w:ascii="Arial" w:hAnsi="Arial" w:cs="Arial"/>
        </w:rPr>
        <w:t>§ 13 Abs. 2b AMG</w:t>
      </w:r>
      <w:r>
        <w:rPr>
          <w:rFonts w:ascii="Arial" w:hAnsi="Arial" w:cs="Arial"/>
        </w:rPr>
        <w:t xml:space="preserve"> von Ärzten </w:t>
      </w:r>
      <w:r w:rsidR="00A35694">
        <w:rPr>
          <w:rFonts w:ascii="Arial" w:hAnsi="Arial" w:cs="Arial"/>
        </w:rPr>
        <w:t>hergestellten</w:t>
      </w:r>
      <w:r>
        <w:rPr>
          <w:rFonts w:ascii="Arial" w:hAnsi="Arial" w:cs="Arial"/>
        </w:rPr>
        <w:t xml:space="preserve"> Lu-177-</w:t>
      </w:r>
      <w:r w:rsidRPr="00601814">
        <w:rPr>
          <w:rFonts w:ascii="Arial" w:hAnsi="Arial" w:cs="Arial"/>
        </w:rPr>
        <w:t xml:space="preserve">DOTA-konjugierten </w:t>
      </w:r>
      <w:proofErr w:type="spellStart"/>
      <w:r w:rsidRPr="00601814">
        <w:rPr>
          <w:rFonts w:ascii="Arial" w:hAnsi="Arial" w:cs="Arial"/>
        </w:rPr>
        <w:t>Somatostatinanaloga</w:t>
      </w:r>
      <w:proofErr w:type="spellEnd"/>
      <w:r>
        <w:rPr>
          <w:rFonts w:ascii="Arial" w:hAnsi="Arial" w:cs="Arial"/>
        </w:rPr>
        <w:t xml:space="preserve"> in ihrer </w:t>
      </w:r>
      <w:r w:rsidR="00A571C4">
        <w:rPr>
          <w:rFonts w:ascii="Arial" w:hAnsi="Arial" w:cs="Arial"/>
        </w:rPr>
        <w:t>Aktivität und damit Strahlendosis</w:t>
      </w:r>
      <w:r>
        <w:rPr>
          <w:rFonts w:ascii="Arial" w:hAnsi="Arial" w:cs="Arial"/>
        </w:rPr>
        <w:t>, so dass im individuellen Fall auch Einflüsse auf die Verweildauer denkbar sein könnten</w:t>
      </w:r>
      <w:r w:rsidR="00A35694">
        <w:rPr>
          <w:rFonts w:ascii="Arial" w:hAnsi="Arial" w:cs="Arial"/>
        </w:rPr>
        <w:t xml:space="preserve"> (selten).</w:t>
      </w:r>
      <w:r w:rsidR="00CE4D15">
        <w:rPr>
          <w:rFonts w:ascii="Arial" w:hAnsi="Arial" w:cs="Arial"/>
        </w:rPr>
        <w:t xml:space="preserve"> Ebenso kann aufgrund abweichender Therapieprotokolle die Gesamtverweildauer abweichen. Für die Therapie mit </w:t>
      </w:r>
      <w:proofErr w:type="spellStart"/>
      <w:r w:rsidR="00CE4D15" w:rsidRPr="00C425E5">
        <w:rPr>
          <w:rFonts w:ascii="Arial" w:hAnsi="Arial" w:cs="Arial"/>
        </w:rPr>
        <w:t>Lutathera</w:t>
      </w:r>
      <w:proofErr w:type="spellEnd"/>
      <w:r w:rsidR="00CE4D15" w:rsidRPr="00C425E5">
        <w:rPr>
          <w:rFonts w:ascii="Arial" w:hAnsi="Arial" w:cs="Arial"/>
          <w:vertAlign w:val="superscript"/>
        </w:rPr>
        <w:t>®</w:t>
      </w:r>
      <w:r w:rsidR="00CE4D15">
        <w:rPr>
          <w:rFonts w:ascii="Arial" w:hAnsi="Arial" w:cs="Arial"/>
        </w:rPr>
        <w:t xml:space="preserve"> sind in der Regel nur vier stationäre Aufenthalte notwendig. </w:t>
      </w:r>
    </w:p>
    <w:p w:rsidR="006C2FFF" w:rsidRDefault="006C2FFF" w:rsidP="00CE4D15">
      <w:pPr>
        <w:jc w:val="both"/>
        <w:rPr>
          <w:rFonts w:ascii="Arial" w:hAnsi="Arial" w:cs="Arial"/>
        </w:rPr>
      </w:pPr>
    </w:p>
    <w:p w:rsidR="002B1DF0" w:rsidRPr="0044080E" w:rsidRDefault="002B1DF0" w:rsidP="002B1DF0">
      <w:pPr>
        <w:rPr>
          <w:rFonts w:ascii="Arial" w:hAnsi="Arial" w:cs="Arial"/>
          <w:b/>
          <w:u w:val="single"/>
        </w:rPr>
      </w:pPr>
      <w:r w:rsidRPr="0044080E">
        <w:rPr>
          <w:rFonts w:ascii="Arial" w:hAnsi="Arial" w:cs="Arial"/>
          <w:b/>
          <w:u w:val="single"/>
        </w:rPr>
        <w:t xml:space="preserve">Blatt: </w:t>
      </w:r>
      <w:r w:rsidRPr="002B1DF0">
        <w:rPr>
          <w:rFonts w:ascii="Arial" w:hAnsi="Arial" w:cs="Arial"/>
          <w:b/>
          <w:u w:val="single"/>
        </w:rPr>
        <w:t>Kennzahlen</w:t>
      </w:r>
      <w:r w:rsidRPr="0044080E">
        <w:rPr>
          <w:rFonts w:ascii="Arial" w:hAnsi="Arial" w:cs="Arial"/>
          <w:b/>
          <w:u w:val="single"/>
        </w:rPr>
        <w:t>:</w:t>
      </w:r>
    </w:p>
    <w:p w:rsidR="00B66CE5" w:rsidRPr="002B1DF0" w:rsidRDefault="00B66CE5" w:rsidP="00A21354">
      <w:pPr>
        <w:jc w:val="both"/>
        <w:rPr>
          <w:rFonts w:ascii="Arial" w:hAnsi="Arial" w:cs="Arial"/>
          <w:u w:val="single"/>
        </w:rPr>
      </w:pPr>
      <w:r w:rsidRPr="002B1DF0">
        <w:rPr>
          <w:rFonts w:ascii="Arial" w:hAnsi="Arial" w:cs="Arial"/>
          <w:u w:val="single"/>
        </w:rPr>
        <w:t>Wann wurde diese Methode in Deutschland eingeführt?</w:t>
      </w:r>
    </w:p>
    <w:p w:rsidR="004C2112" w:rsidRDefault="001B3190" w:rsidP="00A21354">
      <w:pPr>
        <w:jc w:val="both"/>
        <w:rPr>
          <w:rFonts w:ascii="Arial" w:hAnsi="Arial" w:cs="Arial"/>
        </w:rPr>
      </w:pPr>
      <w:r w:rsidRPr="001B3190">
        <w:rPr>
          <w:rFonts w:ascii="Arial" w:hAnsi="Arial" w:cs="Arial"/>
        </w:rPr>
        <w:lastRenderedPageBreak/>
        <w:t xml:space="preserve">Lu-177-Oxodotreotide </w:t>
      </w:r>
      <w:r>
        <w:rPr>
          <w:rFonts w:ascii="Arial" w:hAnsi="Arial" w:cs="Arial"/>
        </w:rPr>
        <w:t xml:space="preserve">in Form von </w:t>
      </w:r>
      <w:proofErr w:type="spellStart"/>
      <w:r w:rsidRPr="001B3190">
        <w:rPr>
          <w:rFonts w:ascii="Arial" w:hAnsi="Arial" w:cs="Arial"/>
        </w:rPr>
        <w:t>Lutathera</w:t>
      </w:r>
      <w:proofErr w:type="spellEnd"/>
      <w:r w:rsidRPr="001B3190">
        <w:rPr>
          <w:rFonts w:ascii="Arial" w:hAnsi="Arial" w:cs="Arial"/>
          <w:vertAlign w:val="superscript"/>
        </w:rPr>
        <w:t>®</w:t>
      </w:r>
      <w:r w:rsidRPr="001B3190">
        <w:rPr>
          <w:rFonts w:ascii="Arial" w:hAnsi="Arial" w:cs="Arial"/>
        </w:rPr>
        <w:t xml:space="preserve"> ist </w:t>
      </w:r>
      <w:r>
        <w:rPr>
          <w:rFonts w:ascii="Arial" w:hAnsi="Arial" w:cs="Arial"/>
        </w:rPr>
        <w:t xml:space="preserve">theoretisch </w:t>
      </w:r>
      <w:r w:rsidRPr="001B3190">
        <w:rPr>
          <w:rFonts w:ascii="Arial" w:hAnsi="Arial" w:cs="Arial"/>
        </w:rPr>
        <w:t>seit der am 26.09.2017 erteilten Zulassung kommerziell verfügbar.</w:t>
      </w:r>
      <w:r>
        <w:rPr>
          <w:rFonts w:ascii="Arial" w:hAnsi="Arial" w:cs="Arial"/>
        </w:rPr>
        <w:t xml:space="preserve"> </w:t>
      </w:r>
      <w:r w:rsidR="00802F91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Einführung </w:t>
      </w:r>
      <w:r w:rsidR="00802F91">
        <w:rPr>
          <w:rFonts w:ascii="Arial" w:hAnsi="Arial" w:cs="Arial"/>
        </w:rPr>
        <w:t>auf</w:t>
      </w:r>
      <w:r>
        <w:rPr>
          <w:rFonts w:ascii="Arial" w:hAnsi="Arial" w:cs="Arial"/>
        </w:rPr>
        <w:t xml:space="preserve"> den Markt </w:t>
      </w:r>
      <w:r w:rsidR="00802F91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zurzeit </w:t>
      </w:r>
      <w:r w:rsidR="00802F91">
        <w:rPr>
          <w:rFonts w:ascii="Arial" w:hAnsi="Arial" w:cs="Arial"/>
        </w:rPr>
        <w:t xml:space="preserve">noch </w:t>
      </w:r>
      <w:r>
        <w:rPr>
          <w:rFonts w:ascii="Arial" w:hAnsi="Arial" w:cs="Arial"/>
        </w:rPr>
        <w:t xml:space="preserve">aufgrund der unzureichenden Finanzierung über das </w:t>
      </w:r>
      <w:r w:rsidRPr="001B3190">
        <w:rPr>
          <w:rFonts w:ascii="Arial" w:hAnsi="Arial" w:cs="Arial"/>
        </w:rPr>
        <w:t>ZE2018-71</w:t>
      </w:r>
      <w:r>
        <w:rPr>
          <w:rFonts w:ascii="Arial" w:hAnsi="Arial" w:cs="Arial"/>
        </w:rPr>
        <w:t xml:space="preserve"> </w:t>
      </w:r>
      <w:r w:rsidR="00807236">
        <w:rPr>
          <w:rFonts w:ascii="Arial" w:hAnsi="Arial" w:cs="Arial"/>
        </w:rPr>
        <w:t>verhindert</w:t>
      </w:r>
      <w:r>
        <w:rPr>
          <w:rFonts w:ascii="Arial" w:hAnsi="Arial" w:cs="Arial"/>
        </w:rPr>
        <w:t>.</w:t>
      </w:r>
    </w:p>
    <w:p w:rsidR="00B66CE5" w:rsidRPr="002B1DF0" w:rsidRDefault="00B66CE5" w:rsidP="00A21354">
      <w:pPr>
        <w:jc w:val="both"/>
        <w:rPr>
          <w:rFonts w:ascii="Arial" w:hAnsi="Arial" w:cs="Arial"/>
          <w:u w:val="single"/>
        </w:rPr>
      </w:pPr>
      <w:r w:rsidRPr="002B1DF0">
        <w:rPr>
          <w:rFonts w:ascii="Arial" w:hAnsi="Arial" w:cs="Arial"/>
          <w:u w:val="single"/>
        </w:rPr>
        <w:t>Bei Medikamenten: Wann wurde dieses Medikament zugelassen?</w:t>
      </w:r>
    </w:p>
    <w:p w:rsidR="001B3190" w:rsidRDefault="001B3190" w:rsidP="005557D2">
      <w:pPr>
        <w:rPr>
          <w:rFonts w:ascii="Arial" w:hAnsi="Arial" w:cs="Arial"/>
        </w:rPr>
      </w:pPr>
      <w:r w:rsidRPr="001B3190">
        <w:rPr>
          <w:rFonts w:ascii="Arial" w:hAnsi="Arial" w:cs="Arial"/>
        </w:rPr>
        <w:t xml:space="preserve">Lu-177-Oxodotreotide </w:t>
      </w:r>
      <w:r>
        <w:rPr>
          <w:rFonts w:ascii="Arial" w:hAnsi="Arial" w:cs="Arial"/>
        </w:rPr>
        <w:t xml:space="preserve">in Form von </w:t>
      </w:r>
      <w:proofErr w:type="spellStart"/>
      <w:r w:rsidRPr="001B3190">
        <w:rPr>
          <w:rFonts w:ascii="Arial" w:hAnsi="Arial" w:cs="Arial"/>
        </w:rPr>
        <w:t>Lutathera</w:t>
      </w:r>
      <w:proofErr w:type="spellEnd"/>
      <w:r w:rsidRPr="001B3190">
        <w:rPr>
          <w:rFonts w:ascii="Arial" w:hAnsi="Arial" w:cs="Arial"/>
          <w:vertAlign w:val="superscript"/>
        </w:rPr>
        <w:t>®</w:t>
      </w:r>
      <w:r w:rsidRPr="001B3190">
        <w:rPr>
          <w:rFonts w:ascii="Arial" w:hAnsi="Arial" w:cs="Arial"/>
        </w:rPr>
        <w:t xml:space="preserve"> wurde am 26.09.2017 </w:t>
      </w:r>
      <w:r w:rsidR="002364E9">
        <w:rPr>
          <w:rFonts w:ascii="Arial" w:hAnsi="Arial" w:cs="Arial"/>
        </w:rPr>
        <w:t xml:space="preserve">durch die EMA </w:t>
      </w:r>
      <w:r w:rsidRPr="001B3190">
        <w:rPr>
          <w:rFonts w:ascii="Arial" w:hAnsi="Arial" w:cs="Arial"/>
        </w:rPr>
        <w:t>zugelassen.</w:t>
      </w:r>
    </w:p>
    <w:p w:rsidR="002B1DF0" w:rsidRDefault="002B1DF0" w:rsidP="005557D2">
      <w:pPr>
        <w:rPr>
          <w:rFonts w:ascii="Arial" w:hAnsi="Arial" w:cs="Arial"/>
          <w:u w:val="single"/>
        </w:rPr>
      </w:pPr>
      <w:r w:rsidRPr="002B1DF0">
        <w:rPr>
          <w:rFonts w:ascii="Arial" w:hAnsi="Arial" w:cs="Arial"/>
          <w:u w:val="single"/>
        </w:rPr>
        <w:t>Wann wurde bzw. wird die Methode in</w:t>
      </w:r>
      <w:r>
        <w:rPr>
          <w:rFonts w:ascii="Arial" w:hAnsi="Arial" w:cs="Arial"/>
          <w:u w:val="single"/>
        </w:rPr>
        <w:t xml:space="preserve"> Ihrem Krankenhaus eingeführt?</w:t>
      </w:r>
    </w:p>
    <w:p w:rsidR="00A6345E" w:rsidRPr="00B66CE5" w:rsidRDefault="00A6345E" w:rsidP="00A6345E">
      <w:pPr>
        <w:rPr>
          <w:rFonts w:ascii="Arial" w:hAnsi="Arial" w:cs="Arial"/>
        </w:rPr>
      </w:pPr>
      <w:r w:rsidRPr="002B1DF0">
        <w:rPr>
          <w:rFonts w:ascii="Arial" w:hAnsi="Arial" w:cs="Arial"/>
          <w:highlight w:val="yellow"/>
        </w:rPr>
        <w:t>bitte ergänzen</w:t>
      </w:r>
    </w:p>
    <w:p w:rsidR="00B66CE5" w:rsidRPr="002B1DF0" w:rsidRDefault="00B66CE5" w:rsidP="00B66CE5">
      <w:pPr>
        <w:rPr>
          <w:rFonts w:ascii="Arial" w:hAnsi="Arial" w:cs="Arial"/>
          <w:u w:val="single"/>
        </w:rPr>
      </w:pPr>
      <w:r w:rsidRPr="002B1DF0">
        <w:rPr>
          <w:rFonts w:ascii="Arial" w:hAnsi="Arial" w:cs="Arial"/>
          <w:u w:val="single"/>
        </w:rPr>
        <w:t>In wie vielen Kliniken wird diese Methode derzeit eingesetzt (Schätzung)?</w:t>
      </w:r>
    </w:p>
    <w:p w:rsidR="005557D2" w:rsidRPr="005557D2" w:rsidRDefault="005557D2" w:rsidP="00D97324">
      <w:pPr>
        <w:jc w:val="both"/>
        <w:rPr>
          <w:rFonts w:ascii="Arial" w:hAnsi="Arial" w:cs="Arial"/>
        </w:rPr>
      </w:pPr>
      <w:r w:rsidRPr="005557D2">
        <w:rPr>
          <w:rFonts w:ascii="Arial" w:hAnsi="Arial" w:cs="Arial"/>
        </w:rPr>
        <w:t xml:space="preserve">Es ist prinzipiell von einem Einsatz in allen </w:t>
      </w:r>
      <w:r w:rsidR="00986BB4">
        <w:rPr>
          <w:rFonts w:ascii="Arial" w:hAnsi="Arial" w:cs="Arial"/>
        </w:rPr>
        <w:t>K</w:t>
      </w:r>
      <w:r w:rsidRPr="005557D2">
        <w:rPr>
          <w:rFonts w:ascii="Arial" w:hAnsi="Arial" w:cs="Arial"/>
        </w:rPr>
        <w:t xml:space="preserve">rankenhäusern mit </w:t>
      </w:r>
      <w:r w:rsidR="0019232F">
        <w:rPr>
          <w:rFonts w:ascii="Arial" w:hAnsi="Arial" w:cs="Arial"/>
        </w:rPr>
        <w:t>therapeutisch-</w:t>
      </w:r>
      <w:r w:rsidR="00986BB4">
        <w:rPr>
          <w:rFonts w:ascii="Arial" w:hAnsi="Arial" w:cs="Arial"/>
        </w:rPr>
        <w:t xml:space="preserve">nuklearmedizinischen Abteilungen </w:t>
      </w:r>
      <w:r w:rsidRPr="005557D2">
        <w:rPr>
          <w:rFonts w:ascii="Arial" w:hAnsi="Arial" w:cs="Arial"/>
        </w:rPr>
        <w:t xml:space="preserve">auszugehen. </w:t>
      </w:r>
      <w:r w:rsidR="00807236">
        <w:rPr>
          <w:rFonts w:ascii="Arial" w:hAnsi="Arial" w:cs="Arial"/>
        </w:rPr>
        <w:t>Es ist mit ca. 600-900 Patienten und damit bis zu 2.400-3.600 Applikationen pro Jahr zu rechnen.</w:t>
      </w:r>
    </w:p>
    <w:p w:rsidR="00B66CE5" w:rsidRPr="002B1DF0" w:rsidRDefault="00B66CE5" w:rsidP="005557D2">
      <w:pPr>
        <w:rPr>
          <w:rFonts w:ascii="Arial" w:hAnsi="Arial" w:cs="Arial"/>
          <w:u w:val="single"/>
        </w:rPr>
      </w:pPr>
      <w:r w:rsidRPr="002B1DF0">
        <w:rPr>
          <w:rFonts w:ascii="Arial" w:hAnsi="Arial" w:cs="Arial"/>
          <w:u w:val="single"/>
        </w:rPr>
        <w:t xml:space="preserve">Wie viele Patienten wurden in Ihrem Krankenhaus </w:t>
      </w:r>
      <w:proofErr w:type="gramStart"/>
      <w:r w:rsidRPr="002B1DF0">
        <w:rPr>
          <w:rFonts w:ascii="Arial" w:hAnsi="Arial" w:cs="Arial"/>
          <w:u w:val="single"/>
        </w:rPr>
        <w:t>in 201</w:t>
      </w:r>
      <w:r w:rsidR="0089610C">
        <w:rPr>
          <w:rFonts w:ascii="Arial" w:hAnsi="Arial" w:cs="Arial"/>
          <w:u w:val="single"/>
        </w:rPr>
        <w:t>7</w:t>
      </w:r>
      <w:proofErr w:type="gramEnd"/>
      <w:r w:rsidRPr="002B1DF0">
        <w:rPr>
          <w:rFonts w:ascii="Arial" w:hAnsi="Arial" w:cs="Arial"/>
          <w:u w:val="single"/>
        </w:rPr>
        <w:t xml:space="preserve"> und 201</w:t>
      </w:r>
      <w:r w:rsidR="0089610C">
        <w:rPr>
          <w:rFonts w:ascii="Arial" w:hAnsi="Arial" w:cs="Arial"/>
          <w:u w:val="single"/>
        </w:rPr>
        <w:t>8</w:t>
      </w:r>
      <w:r w:rsidRPr="002B1DF0">
        <w:rPr>
          <w:rFonts w:ascii="Arial" w:hAnsi="Arial" w:cs="Arial"/>
          <w:u w:val="single"/>
        </w:rPr>
        <w:t xml:space="preserve"> mit dieser Methode behandelt?</w:t>
      </w:r>
    </w:p>
    <w:p w:rsidR="00B66CE5" w:rsidRPr="00B66CE5" w:rsidRDefault="00B66CE5" w:rsidP="00B66CE5">
      <w:pPr>
        <w:rPr>
          <w:rFonts w:ascii="Arial" w:hAnsi="Arial" w:cs="Arial"/>
        </w:rPr>
      </w:pPr>
      <w:r w:rsidRPr="002B1DF0">
        <w:rPr>
          <w:rFonts w:ascii="Arial" w:hAnsi="Arial" w:cs="Arial"/>
          <w:u w:val="single"/>
        </w:rPr>
        <w:t>In 201</w:t>
      </w:r>
      <w:r w:rsidR="0089610C">
        <w:rPr>
          <w:rFonts w:ascii="Arial" w:hAnsi="Arial" w:cs="Arial"/>
          <w:u w:val="single"/>
        </w:rPr>
        <w:t>7</w:t>
      </w:r>
      <w:r w:rsidRPr="002B1DF0">
        <w:rPr>
          <w:rFonts w:ascii="Arial" w:hAnsi="Arial" w:cs="Arial"/>
          <w:u w:val="single"/>
        </w:rPr>
        <w:t>:</w:t>
      </w:r>
      <w:r w:rsidRPr="00B66CE5">
        <w:rPr>
          <w:rFonts w:ascii="Arial" w:hAnsi="Arial" w:cs="Arial"/>
        </w:rPr>
        <w:t xml:space="preserve"> </w:t>
      </w:r>
      <w:r w:rsidR="00807236">
        <w:rPr>
          <w:rFonts w:ascii="Arial" w:hAnsi="Arial" w:cs="Arial"/>
        </w:rPr>
        <w:t>0</w:t>
      </w:r>
    </w:p>
    <w:p w:rsidR="00A6345E" w:rsidRPr="00B66CE5" w:rsidRDefault="0089610C" w:rsidP="00A6345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In 2018</w:t>
      </w:r>
      <w:r w:rsidR="00B66CE5" w:rsidRPr="002B1DF0">
        <w:rPr>
          <w:rFonts w:ascii="Arial" w:hAnsi="Arial" w:cs="Arial"/>
          <w:u w:val="single"/>
        </w:rPr>
        <w:t>:</w:t>
      </w:r>
      <w:r w:rsidR="00B66CE5" w:rsidRPr="00B66CE5">
        <w:rPr>
          <w:rFonts w:ascii="Arial" w:hAnsi="Arial" w:cs="Arial"/>
        </w:rPr>
        <w:t xml:space="preserve"> </w:t>
      </w:r>
      <w:r w:rsidR="00A6345E" w:rsidRPr="002B1DF0">
        <w:rPr>
          <w:rFonts w:ascii="Arial" w:hAnsi="Arial" w:cs="Arial"/>
          <w:highlight w:val="yellow"/>
        </w:rPr>
        <w:t xml:space="preserve">bitte </w:t>
      </w:r>
      <w:r w:rsidR="00A6345E" w:rsidRPr="00A35694">
        <w:rPr>
          <w:rFonts w:ascii="Arial" w:hAnsi="Arial" w:cs="Arial"/>
          <w:highlight w:val="yellow"/>
        </w:rPr>
        <w:t>ergänzen</w:t>
      </w:r>
      <w:r w:rsidR="00807236" w:rsidRPr="00A35694">
        <w:rPr>
          <w:rFonts w:ascii="Arial" w:hAnsi="Arial" w:cs="Arial"/>
          <w:highlight w:val="yellow"/>
        </w:rPr>
        <w:t xml:space="preserve"> (bitte geben Sie am besten sowohl </w:t>
      </w:r>
      <w:r w:rsidR="00A35694" w:rsidRPr="00A35694">
        <w:rPr>
          <w:rFonts w:ascii="Arial" w:hAnsi="Arial" w:cs="Arial"/>
          <w:highlight w:val="yellow"/>
        </w:rPr>
        <w:t xml:space="preserve">Patienten </w:t>
      </w:r>
      <w:r w:rsidR="00807236" w:rsidRPr="00A35694">
        <w:rPr>
          <w:rFonts w:ascii="Arial" w:hAnsi="Arial" w:cs="Arial"/>
          <w:highlight w:val="yellow"/>
        </w:rPr>
        <w:t xml:space="preserve">als auch </w:t>
      </w:r>
      <w:r w:rsidR="00852AC8">
        <w:rPr>
          <w:rFonts w:ascii="Arial" w:hAnsi="Arial" w:cs="Arial"/>
          <w:highlight w:val="yellow"/>
        </w:rPr>
        <w:t>Fälle [</w:t>
      </w:r>
      <w:r w:rsidR="00A35694" w:rsidRPr="00A35694">
        <w:rPr>
          <w:rFonts w:ascii="Arial" w:hAnsi="Arial" w:cs="Arial"/>
          <w:highlight w:val="yellow"/>
        </w:rPr>
        <w:t>=Aufenthalte zur Applikation</w:t>
      </w:r>
      <w:r w:rsidR="00852AC8">
        <w:rPr>
          <w:rFonts w:ascii="Arial" w:hAnsi="Arial" w:cs="Arial"/>
          <w:highlight w:val="yellow"/>
        </w:rPr>
        <w:t>]</w:t>
      </w:r>
      <w:r w:rsidR="00A35694" w:rsidRPr="00A35694">
        <w:rPr>
          <w:rFonts w:ascii="Arial" w:hAnsi="Arial" w:cs="Arial"/>
          <w:highlight w:val="yellow"/>
        </w:rPr>
        <w:t xml:space="preserve"> an)!</w:t>
      </w:r>
    </w:p>
    <w:p w:rsidR="00B66CE5" w:rsidRPr="002B1DF0" w:rsidRDefault="00B66CE5" w:rsidP="00B66CE5">
      <w:pPr>
        <w:rPr>
          <w:rFonts w:ascii="Arial" w:hAnsi="Arial" w:cs="Arial"/>
          <w:u w:val="single"/>
        </w:rPr>
      </w:pPr>
      <w:r w:rsidRPr="002B1DF0">
        <w:rPr>
          <w:rFonts w:ascii="Arial" w:hAnsi="Arial" w:cs="Arial"/>
          <w:u w:val="single"/>
        </w:rPr>
        <w:t>Wie viele Patienten planen Sie im Jahr 201</w:t>
      </w:r>
      <w:r w:rsidR="005E5104">
        <w:rPr>
          <w:rFonts w:ascii="Arial" w:hAnsi="Arial" w:cs="Arial"/>
          <w:u w:val="single"/>
        </w:rPr>
        <w:t>9</w:t>
      </w:r>
      <w:r w:rsidRPr="002B1DF0">
        <w:rPr>
          <w:rFonts w:ascii="Arial" w:hAnsi="Arial" w:cs="Arial"/>
          <w:u w:val="single"/>
        </w:rPr>
        <w:t xml:space="preserve"> mit dieser Methode zu behandeln?</w:t>
      </w:r>
    </w:p>
    <w:p w:rsidR="00852AC8" w:rsidRDefault="00852AC8" w:rsidP="002B1DF0">
      <w:pPr>
        <w:rPr>
          <w:rFonts w:ascii="Arial" w:hAnsi="Arial" w:cs="Arial"/>
        </w:rPr>
      </w:pPr>
      <w:r w:rsidRPr="002B1DF0">
        <w:rPr>
          <w:rFonts w:ascii="Arial" w:hAnsi="Arial" w:cs="Arial"/>
          <w:highlight w:val="yellow"/>
        </w:rPr>
        <w:t xml:space="preserve">bitte </w:t>
      </w:r>
      <w:r w:rsidRPr="00A35694">
        <w:rPr>
          <w:rFonts w:ascii="Arial" w:hAnsi="Arial" w:cs="Arial"/>
          <w:highlight w:val="yellow"/>
        </w:rPr>
        <w:t xml:space="preserve">ergänzen (bitte geben Sie am besten sowohl Patienten als auch </w:t>
      </w:r>
      <w:r>
        <w:rPr>
          <w:rFonts w:ascii="Arial" w:hAnsi="Arial" w:cs="Arial"/>
          <w:highlight w:val="yellow"/>
        </w:rPr>
        <w:t>Fälle [</w:t>
      </w:r>
      <w:r w:rsidRPr="00A35694">
        <w:rPr>
          <w:rFonts w:ascii="Arial" w:hAnsi="Arial" w:cs="Arial"/>
          <w:highlight w:val="yellow"/>
        </w:rPr>
        <w:t>=Aufenthalte zur Applikation</w:t>
      </w:r>
      <w:r>
        <w:rPr>
          <w:rFonts w:ascii="Arial" w:hAnsi="Arial" w:cs="Arial"/>
          <w:highlight w:val="yellow"/>
        </w:rPr>
        <w:t>]</w:t>
      </w:r>
      <w:r w:rsidRPr="00A35694">
        <w:rPr>
          <w:rFonts w:ascii="Arial" w:hAnsi="Arial" w:cs="Arial"/>
          <w:highlight w:val="yellow"/>
        </w:rPr>
        <w:t xml:space="preserve"> an)!</w:t>
      </w:r>
    </w:p>
    <w:p w:rsidR="00852AC8" w:rsidRDefault="00852AC8" w:rsidP="002B1DF0">
      <w:pPr>
        <w:rPr>
          <w:rFonts w:ascii="Arial" w:hAnsi="Arial" w:cs="Arial"/>
        </w:rPr>
      </w:pPr>
    </w:p>
    <w:p w:rsidR="002B1DF0" w:rsidRPr="0044080E" w:rsidRDefault="002B1DF0" w:rsidP="002B1DF0">
      <w:pPr>
        <w:rPr>
          <w:rFonts w:ascii="Arial" w:hAnsi="Arial" w:cs="Arial"/>
          <w:b/>
          <w:u w:val="single"/>
        </w:rPr>
      </w:pPr>
      <w:r w:rsidRPr="0044080E">
        <w:rPr>
          <w:rFonts w:ascii="Arial" w:hAnsi="Arial" w:cs="Arial"/>
          <w:b/>
          <w:u w:val="single"/>
        </w:rPr>
        <w:t xml:space="preserve">Blatt: </w:t>
      </w:r>
      <w:r w:rsidR="009258A1" w:rsidRPr="009258A1">
        <w:rPr>
          <w:rFonts w:ascii="Arial" w:hAnsi="Arial" w:cs="Arial"/>
          <w:b/>
          <w:u w:val="single"/>
        </w:rPr>
        <w:t>Mehrkosten</w:t>
      </w:r>
      <w:r w:rsidRPr="0044080E">
        <w:rPr>
          <w:rFonts w:ascii="Arial" w:hAnsi="Arial" w:cs="Arial"/>
          <w:b/>
          <w:u w:val="single"/>
        </w:rPr>
        <w:t>:</w:t>
      </w:r>
    </w:p>
    <w:p w:rsidR="000E639B" w:rsidRDefault="00B66CE5" w:rsidP="00B66CE5">
      <w:pPr>
        <w:rPr>
          <w:rFonts w:ascii="Arial" w:hAnsi="Arial" w:cs="Arial"/>
          <w:u w:val="single"/>
        </w:rPr>
      </w:pPr>
      <w:r w:rsidRPr="00B66B58">
        <w:rPr>
          <w:rFonts w:ascii="Arial" w:hAnsi="Arial" w:cs="Arial"/>
          <w:u w:val="single"/>
        </w:rPr>
        <w:t xml:space="preserve">Entstehen durch die neue Methode Mehrkosten gegenüber dem bisher üblichen Verfahren? </w:t>
      </w:r>
    </w:p>
    <w:p w:rsidR="000E639B" w:rsidRDefault="00B66CE5" w:rsidP="00B66CE5">
      <w:pPr>
        <w:rPr>
          <w:rFonts w:ascii="Arial" w:hAnsi="Arial" w:cs="Arial"/>
          <w:u w:val="single"/>
        </w:rPr>
      </w:pPr>
      <w:r w:rsidRPr="00B66B58">
        <w:rPr>
          <w:rFonts w:ascii="Arial" w:hAnsi="Arial" w:cs="Arial"/>
          <w:u w:val="single"/>
        </w:rPr>
        <w:t xml:space="preserve">Wenn ja, wodurch? </w:t>
      </w:r>
    </w:p>
    <w:p w:rsidR="00B66CE5" w:rsidRPr="00B66B58" w:rsidRDefault="00B66CE5" w:rsidP="00B66CE5">
      <w:pPr>
        <w:rPr>
          <w:rFonts w:ascii="Arial" w:hAnsi="Arial" w:cs="Arial"/>
          <w:u w:val="single"/>
        </w:rPr>
      </w:pPr>
      <w:r w:rsidRPr="00B66B58">
        <w:rPr>
          <w:rFonts w:ascii="Arial" w:hAnsi="Arial" w:cs="Arial"/>
          <w:u w:val="single"/>
        </w:rPr>
        <w:t>In welcher Höhe (möglichst aufgetrennt nach Personal- und Sachkosten)?</w:t>
      </w:r>
    </w:p>
    <w:p w:rsidR="00986BB4" w:rsidRPr="00A35694" w:rsidRDefault="00986BB4" w:rsidP="0019232F">
      <w:pPr>
        <w:jc w:val="both"/>
        <w:rPr>
          <w:rFonts w:ascii="Arial" w:hAnsi="Arial" w:cs="Arial"/>
        </w:rPr>
      </w:pPr>
      <w:r w:rsidRPr="0098518A">
        <w:rPr>
          <w:rFonts w:ascii="Arial" w:hAnsi="Arial" w:cs="Arial"/>
        </w:rPr>
        <w:t>Lu-177-Oxodotreotide (</w:t>
      </w:r>
      <w:proofErr w:type="spellStart"/>
      <w:r w:rsidR="0098518A" w:rsidRPr="0098518A">
        <w:rPr>
          <w:rFonts w:ascii="Arial" w:hAnsi="Arial" w:cs="Arial"/>
        </w:rPr>
        <w:t>Lutathera</w:t>
      </w:r>
      <w:proofErr w:type="spellEnd"/>
      <w:r w:rsidR="0098518A" w:rsidRPr="0098518A">
        <w:rPr>
          <w:rFonts w:ascii="Arial" w:hAnsi="Arial" w:cs="Arial"/>
          <w:vertAlign w:val="superscript"/>
        </w:rPr>
        <w:t>®</w:t>
      </w:r>
      <w:r w:rsidR="0098518A" w:rsidRPr="0098518A">
        <w:rPr>
          <w:rFonts w:ascii="Arial" w:hAnsi="Arial" w:cs="Arial"/>
        </w:rPr>
        <w:t>) wird in der Regel viermalig in acht</w:t>
      </w:r>
      <w:r w:rsidRPr="0098518A">
        <w:rPr>
          <w:rFonts w:ascii="Arial" w:hAnsi="Arial" w:cs="Arial"/>
        </w:rPr>
        <w:t xml:space="preserve">wöchigen Intervallen jeweils als intravenöse Infusion </w:t>
      </w:r>
      <w:r w:rsidR="0098518A" w:rsidRPr="0098518A">
        <w:rPr>
          <w:rFonts w:ascii="Arial" w:hAnsi="Arial" w:cs="Arial"/>
        </w:rPr>
        <w:t xml:space="preserve">und </w:t>
      </w:r>
      <w:r w:rsidRPr="0098518A">
        <w:rPr>
          <w:rFonts w:ascii="Arial" w:hAnsi="Arial" w:cs="Arial"/>
        </w:rPr>
        <w:t xml:space="preserve">einer </w:t>
      </w:r>
      <w:r w:rsidR="00A571C4">
        <w:rPr>
          <w:rFonts w:ascii="Arial" w:hAnsi="Arial" w:cs="Arial"/>
        </w:rPr>
        <w:t>Aktivität</w:t>
      </w:r>
      <w:r w:rsidRPr="00A35694">
        <w:rPr>
          <w:rFonts w:ascii="Arial" w:hAnsi="Arial" w:cs="Arial"/>
        </w:rPr>
        <w:t xml:space="preserve"> von 7,4 </w:t>
      </w:r>
      <w:proofErr w:type="spellStart"/>
      <w:r w:rsidRPr="00A35694">
        <w:rPr>
          <w:rFonts w:ascii="Arial" w:hAnsi="Arial" w:cs="Arial"/>
        </w:rPr>
        <w:t>GBq</w:t>
      </w:r>
      <w:proofErr w:type="spellEnd"/>
      <w:r w:rsidRPr="00A35694">
        <w:rPr>
          <w:rFonts w:ascii="Arial" w:hAnsi="Arial" w:cs="Arial"/>
        </w:rPr>
        <w:t xml:space="preserve"> unter Strahlenschutz-Bedingungen appliziert. Die Kosten</w:t>
      </w:r>
      <w:r w:rsidR="00A35694" w:rsidRPr="00A35694">
        <w:rPr>
          <w:rFonts w:ascii="Arial" w:hAnsi="Arial" w:cs="Arial"/>
        </w:rPr>
        <w:t xml:space="preserve"> für eine Einzel</w:t>
      </w:r>
      <w:r w:rsidR="00A571C4">
        <w:rPr>
          <w:rFonts w:ascii="Arial" w:hAnsi="Arial" w:cs="Arial"/>
        </w:rPr>
        <w:t>infusion</w:t>
      </w:r>
      <w:r w:rsidR="00A35694" w:rsidRPr="00A35694">
        <w:rPr>
          <w:rFonts w:ascii="Arial" w:hAnsi="Arial" w:cs="Arial"/>
        </w:rPr>
        <w:t xml:space="preserve"> betragen </w:t>
      </w:r>
      <w:r w:rsidRPr="00A35694">
        <w:rPr>
          <w:rFonts w:ascii="Arial" w:hAnsi="Arial" w:cs="Arial"/>
        </w:rPr>
        <w:t>2</w:t>
      </w:r>
      <w:r w:rsidR="00A35694" w:rsidRPr="00A35694">
        <w:rPr>
          <w:rFonts w:ascii="Arial" w:hAnsi="Arial" w:cs="Arial"/>
        </w:rPr>
        <w:t>4</w:t>
      </w:r>
      <w:r w:rsidRPr="00A35694">
        <w:rPr>
          <w:rFonts w:ascii="Arial" w:hAnsi="Arial" w:cs="Arial"/>
        </w:rPr>
        <w:t>.</w:t>
      </w:r>
      <w:r w:rsidR="00A35694" w:rsidRPr="00A35694">
        <w:rPr>
          <w:rFonts w:ascii="Arial" w:hAnsi="Arial" w:cs="Arial"/>
        </w:rPr>
        <w:t>0</w:t>
      </w:r>
      <w:r w:rsidRPr="00A35694">
        <w:rPr>
          <w:rFonts w:ascii="Arial" w:hAnsi="Arial" w:cs="Arial"/>
        </w:rPr>
        <w:t xml:space="preserve">00 </w:t>
      </w:r>
      <w:r w:rsidR="00A35694">
        <w:rPr>
          <w:rFonts w:ascii="Arial" w:hAnsi="Arial" w:cs="Arial"/>
        </w:rPr>
        <w:t>€</w:t>
      </w:r>
      <w:r w:rsidR="00A35694" w:rsidRPr="00A35694">
        <w:rPr>
          <w:rFonts w:ascii="Arial" w:hAnsi="Arial" w:cs="Arial"/>
        </w:rPr>
        <w:t xml:space="preserve"> zzgl</w:t>
      </w:r>
      <w:r w:rsidR="00A35694">
        <w:rPr>
          <w:rFonts w:ascii="Arial" w:hAnsi="Arial" w:cs="Arial"/>
        </w:rPr>
        <w:t>.</w:t>
      </w:r>
      <w:r w:rsidR="00A35694" w:rsidRPr="00A35694">
        <w:rPr>
          <w:rFonts w:ascii="Arial" w:hAnsi="Arial" w:cs="Arial"/>
        </w:rPr>
        <w:t xml:space="preserve"> 19% </w:t>
      </w:r>
      <w:r w:rsidR="006E291D" w:rsidRPr="00A35694">
        <w:rPr>
          <w:rFonts w:ascii="Arial" w:hAnsi="Arial" w:cs="Arial"/>
        </w:rPr>
        <w:t>MwSt.</w:t>
      </w:r>
      <w:r w:rsidR="006E291D">
        <w:rPr>
          <w:rFonts w:ascii="Arial" w:hAnsi="Arial" w:cs="Arial"/>
        </w:rPr>
        <w:t xml:space="preserve"> (</w:t>
      </w:r>
      <w:r w:rsidR="00A35694">
        <w:rPr>
          <w:rFonts w:ascii="Arial" w:hAnsi="Arial" w:cs="Arial"/>
        </w:rPr>
        <w:t>28.560 €).</w:t>
      </w:r>
    </w:p>
    <w:p w:rsidR="00986BB4" w:rsidRDefault="006C2FFF" w:rsidP="001923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Dah</w:t>
      </w:r>
      <w:r w:rsidRPr="00A35694">
        <w:rPr>
          <w:rFonts w:ascii="Arial" w:hAnsi="Arial" w:cs="Arial"/>
        </w:rPr>
        <w:t>ingegen</w:t>
      </w:r>
      <w:r w:rsidR="0098518A" w:rsidRPr="00A35694">
        <w:rPr>
          <w:rFonts w:ascii="Arial" w:hAnsi="Arial" w:cs="Arial"/>
        </w:rPr>
        <w:t xml:space="preserve"> entfallen die Kosten der Eigenherstellung von ca. </w:t>
      </w:r>
      <w:r w:rsidR="00A35694" w:rsidRPr="00A35694">
        <w:rPr>
          <w:rFonts w:ascii="Arial" w:hAnsi="Arial" w:cs="Arial"/>
        </w:rPr>
        <w:t>3.000 € - 4.000 €.</w:t>
      </w:r>
      <w:r w:rsidR="00A35694">
        <w:rPr>
          <w:rFonts w:ascii="Arial" w:hAnsi="Arial" w:cs="Arial"/>
        </w:rPr>
        <w:t xml:space="preserve"> Die Mehrkosten gegenüber der bisherigen Therapie mit nach </w:t>
      </w:r>
      <w:r w:rsidR="00A35694" w:rsidRPr="006F2E3B">
        <w:rPr>
          <w:rFonts w:ascii="Arial" w:hAnsi="Arial" w:cs="Arial"/>
        </w:rPr>
        <w:t>§ 13 Abs. 2b AMG</w:t>
      </w:r>
      <w:r w:rsidR="00A35694">
        <w:rPr>
          <w:rFonts w:ascii="Arial" w:hAnsi="Arial" w:cs="Arial"/>
        </w:rPr>
        <w:t xml:space="preserve"> hergestellten Lu-177-</w:t>
      </w:r>
      <w:r w:rsidR="00A35694" w:rsidRPr="00601814">
        <w:rPr>
          <w:rFonts w:ascii="Arial" w:hAnsi="Arial" w:cs="Arial"/>
        </w:rPr>
        <w:t xml:space="preserve">DOTA-konjugierten </w:t>
      </w:r>
      <w:proofErr w:type="spellStart"/>
      <w:r w:rsidR="00A35694" w:rsidRPr="00601814">
        <w:rPr>
          <w:rFonts w:ascii="Arial" w:hAnsi="Arial" w:cs="Arial"/>
        </w:rPr>
        <w:t>Somatostatinanaloga</w:t>
      </w:r>
      <w:proofErr w:type="spellEnd"/>
      <w:r w:rsidR="00A35694">
        <w:rPr>
          <w:rFonts w:ascii="Arial" w:hAnsi="Arial" w:cs="Arial"/>
        </w:rPr>
        <w:t xml:space="preserve"> betragen daher </w:t>
      </w:r>
      <w:r>
        <w:rPr>
          <w:rFonts w:ascii="Arial" w:hAnsi="Arial" w:cs="Arial"/>
        </w:rPr>
        <w:t>ca.</w:t>
      </w:r>
      <w:r w:rsidR="00A35694">
        <w:rPr>
          <w:rFonts w:ascii="Arial" w:hAnsi="Arial" w:cs="Arial"/>
        </w:rPr>
        <w:t xml:space="preserve"> 25.000 €</w:t>
      </w:r>
      <w:r w:rsidR="006E291D">
        <w:rPr>
          <w:rFonts w:ascii="Arial" w:hAnsi="Arial" w:cs="Arial"/>
        </w:rPr>
        <w:t xml:space="preserve"> pro Applikation und abgerechnetem stationären Aufenthalt</w:t>
      </w:r>
      <w:r w:rsidR="00A35694">
        <w:rPr>
          <w:rFonts w:ascii="Arial" w:hAnsi="Arial" w:cs="Arial"/>
        </w:rPr>
        <w:t>.</w:t>
      </w:r>
    </w:p>
    <w:p w:rsidR="006C2FFF" w:rsidRDefault="0098518A" w:rsidP="006C2FFF">
      <w:pPr>
        <w:jc w:val="both"/>
        <w:rPr>
          <w:rFonts w:ascii="Arial" w:hAnsi="Arial" w:cs="Arial"/>
        </w:rPr>
      </w:pPr>
      <w:r w:rsidRPr="007B77DA">
        <w:rPr>
          <w:rFonts w:ascii="Arial" w:hAnsi="Arial" w:cs="Arial"/>
        </w:rPr>
        <w:t xml:space="preserve">In Bezug auf die </w:t>
      </w:r>
      <w:r w:rsidR="006C2FFF">
        <w:rPr>
          <w:rFonts w:ascii="Arial" w:hAnsi="Arial" w:cs="Arial"/>
        </w:rPr>
        <w:t>weiteren Kosten und</w:t>
      </w:r>
      <w:r w:rsidR="006E291D">
        <w:rPr>
          <w:rFonts w:ascii="Arial" w:hAnsi="Arial" w:cs="Arial"/>
        </w:rPr>
        <w:t xml:space="preserve"> die </w:t>
      </w:r>
      <w:r w:rsidRPr="007B77DA">
        <w:rPr>
          <w:rFonts w:ascii="Arial" w:hAnsi="Arial" w:cs="Arial"/>
        </w:rPr>
        <w:t xml:space="preserve">DRG-Abbildung </w:t>
      </w:r>
      <w:r w:rsidR="007B77DA" w:rsidRPr="007B77DA">
        <w:rPr>
          <w:rFonts w:ascii="Arial" w:hAnsi="Arial" w:cs="Arial"/>
        </w:rPr>
        <w:t xml:space="preserve">ergeben sich keine Unterschiede im Vergleich zur Anwendung von individuell nach § 13 Abs. 2b AMG von Ärzten hergestellten Lu-177-DOTA-konjugierten </w:t>
      </w:r>
      <w:proofErr w:type="spellStart"/>
      <w:r w:rsidR="007B77DA" w:rsidRPr="007B77DA">
        <w:rPr>
          <w:rFonts w:ascii="Arial" w:hAnsi="Arial" w:cs="Arial"/>
        </w:rPr>
        <w:t>Somatostatinanaloga</w:t>
      </w:r>
      <w:proofErr w:type="spellEnd"/>
      <w:r w:rsidR="006E291D">
        <w:rPr>
          <w:rFonts w:ascii="Arial" w:hAnsi="Arial" w:cs="Arial"/>
        </w:rPr>
        <w:t xml:space="preserve"> auf DRG-Fallebene</w:t>
      </w:r>
      <w:r w:rsidR="007B77DA" w:rsidRPr="007B77DA">
        <w:rPr>
          <w:rFonts w:ascii="Arial" w:hAnsi="Arial" w:cs="Arial"/>
        </w:rPr>
        <w:t>.</w:t>
      </w:r>
      <w:r w:rsidR="006E291D">
        <w:rPr>
          <w:rFonts w:ascii="Arial" w:hAnsi="Arial" w:cs="Arial"/>
        </w:rPr>
        <w:t xml:space="preserve"> Allerdings können </w:t>
      </w:r>
      <w:r w:rsidR="006E291D">
        <w:rPr>
          <w:rFonts w:ascii="Arial" w:hAnsi="Arial" w:cs="Arial"/>
        </w:rPr>
        <w:lastRenderedPageBreak/>
        <w:t>die Gesamtmehrkosten aufgrund von Therapieprotokollen mit unterschiedlich häufigen Aufenthalten zur Applikation von den Mehrkosten auf DRG-Fallebene abweichen.</w:t>
      </w:r>
      <w:r w:rsidR="006C2FFF" w:rsidRPr="006C2FFF">
        <w:rPr>
          <w:rFonts w:ascii="Arial" w:hAnsi="Arial" w:cs="Arial"/>
        </w:rPr>
        <w:t xml:space="preserve"> </w:t>
      </w:r>
    </w:p>
    <w:p w:rsidR="006C2FFF" w:rsidRPr="00EF6E17" w:rsidRDefault="006C2FFF" w:rsidP="006C2FFF">
      <w:pPr>
        <w:jc w:val="both"/>
        <w:rPr>
          <w:rFonts w:ascii="Arial" w:hAnsi="Arial" w:cs="Arial"/>
        </w:rPr>
      </w:pPr>
      <w:r w:rsidRPr="00EF6E17">
        <w:rPr>
          <w:rFonts w:ascii="Arial" w:hAnsi="Arial" w:cs="Arial"/>
        </w:rPr>
        <w:t xml:space="preserve">Auf Basis der Daten aus 2016 Kalkulationsdaten (im G-DRG-System 2018) und der Daten nach § 21 </w:t>
      </w:r>
      <w:proofErr w:type="spellStart"/>
      <w:r w:rsidRPr="00EF6E17">
        <w:rPr>
          <w:rFonts w:ascii="Arial" w:hAnsi="Arial" w:cs="Arial"/>
        </w:rPr>
        <w:t>KHEntgG</w:t>
      </w:r>
      <w:proofErr w:type="spellEnd"/>
      <w:r w:rsidRPr="00EF6E17">
        <w:rPr>
          <w:rFonts w:ascii="Arial" w:hAnsi="Arial" w:cs="Arial"/>
        </w:rPr>
        <w:t xml:space="preserve"> (im G-DRG-System 2017), sind im Wesentlichen die drei </w:t>
      </w:r>
      <w:r>
        <w:rPr>
          <w:rFonts w:ascii="Arial" w:hAnsi="Arial" w:cs="Arial"/>
        </w:rPr>
        <w:t xml:space="preserve">folgenden </w:t>
      </w:r>
      <w:r w:rsidRPr="00EF6E17">
        <w:rPr>
          <w:rFonts w:ascii="Arial" w:hAnsi="Arial" w:cs="Arial"/>
        </w:rPr>
        <w:t>G-DRGs</w:t>
      </w:r>
      <w:r>
        <w:rPr>
          <w:rFonts w:ascii="Arial" w:hAnsi="Arial" w:cs="Arial"/>
        </w:rPr>
        <w:t xml:space="preserve"> betroffen</w:t>
      </w:r>
      <w:r w:rsidRPr="00EF6E17">
        <w:rPr>
          <w:rFonts w:ascii="Arial" w:hAnsi="Arial" w:cs="Arial"/>
        </w:rPr>
        <w:t>:</w:t>
      </w:r>
    </w:p>
    <w:p w:rsidR="006C2FFF" w:rsidRPr="00957521" w:rsidRDefault="006C2FFF" w:rsidP="006C2FFF">
      <w:pPr>
        <w:rPr>
          <w:rFonts w:ascii="Arial" w:hAnsi="Arial" w:cs="Arial"/>
        </w:rPr>
      </w:pPr>
      <w:r w:rsidRPr="00957521">
        <w:rPr>
          <w:rFonts w:ascii="Arial" w:hAnsi="Arial" w:cs="Arial"/>
        </w:rPr>
        <w:t>G29B</w:t>
      </w:r>
      <w:r w:rsidRPr="00957521">
        <w:rPr>
          <w:rFonts w:ascii="Arial" w:hAnsi="Arial" w:cs="Arial"/>
        </w:rPr>
        <w:tab/>
        <w:t xml:space="preserve">(9,9% </w:t>
      </w:r>
      <w:r>
        <w:rPr>
          <w:rFonts w:ascii="Arial" w:hAnsi="Arial" w:cs="Arial"/>
        </w:rPr>
        <w:t>der Kalkulationsfälle,</w:t>
      </w:r>
      <w:r w:rsidRPr="00957521">
        <w:rPr>
          <w:rFonts w:ascii="Arial" w:hAnsi="Arial" w:cs="Arial"/>
        </w:rPr>
        <w:t xml:space="preserve"> in § 21-Daten 13%</w:t>
      </w:r>
      <w:r>
        <w:rPr>
          <w:rFonts w:ascii="Arial" w:hAnsi="Arial" w:cs="Arial"/>
        </w:rPr>
        <w:t xml:space="preserve">, </w:t>
      </w:r>
      <w:r w:rsidRPr="00957521">
        <w:rPr>
          <w:rFonts w:ascii="Arial" w:hAnsi="Arial" w:cs="Arial"/>
        </w:rPr>
        <w:t xml:space="preserve">Rest </w:t>
      </w:r>
      <w:r>
        <w:rPr>
          <w:rFonts w:ascii="Arial" w:hAnsi="Arial" w:cs="Arial"/>
        </w:rPr>
        <w:t>der Fälle überwiegend Strahlentherapien</w:t>
      </w:r>
      <w:r w:rsidRPr="00957521">
        <w:rPr>
          <w:rFonts w:ascii="Arial" w:hAnsi="Arial" w:cs="Arial"/>
        </w:rPr>
        <w:t xml:space="preserve">) </w:t>
      </w:r>
    </w:p>
    <w:p w:rsidR="006C2FFF" w:rsidRPr="00957521" w:rsidRDefault="006C2FFF" w:rsidP="006C2FFF">
      <w:pPr>
        <w:rPr>
          <w:rFonts w:ascii="Arial" w:hAnsi="Arial" w:cs="Arial"/>
        </w:rPr>
      </w:pPr>
      <w:r w:rsidRPr="00957521">
        <w:rPr>
          <w:rFonts w:ascii="Arial" w:hAnsi="Arial" w:cs="Arial"/>
        </w:rPr>
        <w:t>H16B</w:t>
      </w:r>
      <w:r w:rsidRPr="00957521">
        <w:rPr>
          <w:rFonts w:ascii="Arial" w:hAnsi="Arial" w:cs="Arial"/>
        </w:rPr>
        <w:tab/>
        <w:t xml:space="preserve">(32,4% </w:t>
      </w:r>
      <w:r>
        <w:rPr>
          <w:rFonts w:ascii="Arial" w:hAnsi="Arial" w:cs="Arial"/>
        </w:rPr>
        <w:t>der Kalkulationsfälle,</w:t>
      </w:r>
      <w:r w:rsidRPr="00957521">
        <w:rPr>
          <w:rFonts w:ascii="Arial" w:hAnsi="Arial" w:cs="Arial"/>
        </w:rPr>
        <w:t xml:space="preserve"> in § 21-Daten 34</w:t>
      </w:r>
      <w:r>
        <w:rPr>
          <w:rFonts w:ascii="Arial" w:hAnsi="Arial" w:cs="Arial"/>
        </w:rPr>
        <w:t>%,</w:t>
      </w:r>
      <w:r w:rsidRPr="00957521">
        <w:rPr>
          <w:rFonts w:ascii="Arial" w:hAnsi="Arial" w:cs="Arial"/>
        </w:rPr>
        <w:t xml:space="preserve"> Rest </w:t>
      </w:r>
      <w:r>
        <w:rPr>
          <w:rFonts w:ascii="Arial" w:hAnsi="Arial" w:cs="Arial"/>
        </w:rPr>
        <w:t>der Fälle überwiegend Strahlentherapien</w:t>
      </w:r>
      <w:r w:rsidRPr="00957521">
        <w:rPr>
          <w:rFonts w:ascii="Arial" w:hAnsi="Arial" w:cs="Arial"/>
        </w:rPr>
        <w:t xml:space="preserve">) </w:t>
      </w:r>
    </w:p>
    <w:p w:rsidR="006C2FFF" w:rsidRPr="00957521" w:rsidRDefault="006C2FFF" w:rsidP="006C2FFF">
      <w:pPr>
        <w:rPr>
          <w:rFonts w:ascii="Arial" w:hAnsi="Arial" w:cs="Arial"/>
        </w:rPr>
      </w:pPr>
      <w:r w:rsidRPr="00957521">
        <w:rPr>
          <w:rFonts w:ascii="Arial" w:hAnsi="Arial" w:cs="Arial"/>
        </w:rPr>
        <w:t>K15B</w:t>
      </w:r>
      <w:r w:rsidRPr="00957521">
        <w:rPr>
          <w:rFonts w:ascii="Arial" w:hAnsi="Arial" w:cs="Arial"/>
        </w:rPr>
        <w:tab/>
        <w:t xml:space="preserve">(57,5% </w:t>
      </w:r>
      <w:r>
        <w:rPr>
          <w:rFonts w:ascii="Arial" w:hAnsi="Arial" w:cs="Arial"/>
        </w:rPr>
        <w:t>der Kalkulationsfälle,</w:t>
      </w:r>
      <w:r w:rsidRPr="00957521">
        <w:rPr>
          <w:rFonts w:ascii="Arial" w:hAnsi="Arial" w:cs="Arial"/>
        </w:rPr>
        <w:t xml:space="preserve"> in § 21-Daten nur 42%</w:t>
      </w:r>
      <w:r>
        <w:rPr>
          <w:rFonts w:ascii="Arial" w:hAnsi="Arial" w:cs="Arial"/>
        </w:rPr>
        <w:t xml:space="preserve">, </w:t>
      </w:r>
      <w:r w:rsidRPr="00957521">
        <w:rPr>
          <w:rFonts w:ascii="Arial" w:hAnsi="Arial" w:cs="Arial"/>
        </w:rPr>
        <w:t xml:space="preserve">Rest </w:t>
      </w:r>
      <w:r>
        <w:rPr>
          <w:rFonts w:ascii="Arial" w:hAnsi="Arial" w:cs="Arial"/>
        </w:rPr>
        <w:t>der Fälle überwiegend Strahlentherapien</w:t>
      </w:r>
      <w:r w:rsidRPr="00957521">
        <w:rPr>
          <w:rFonts w:ascii="Arial" w:hAnsi="Arial" w:cs="Arial"/>
        </w:rPr>
        <w:t xml:space="preserve">) </w:t>
      </w:r>
    </w:p>
    <w:p w:rsidR="006C2FFF" w:rsidRPr="00957521" w:rsidRDefault="006C2FFF" w:rsidP="006C2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Prozentsätze beziehen sich jeweils auf </w:t>
      </w:r>
      <w:proofErr w:type="spellStart"/>
      <w:r>
        <w:rPr>
          <w:rFonts w:ascii="Arial" w:hAnsi="Arial" w:cs="Arial"/>
        </w:rPr>
        <w:t>Inlierfälle</w:t>
      </w:r>
      <w:proofErr w:type="spellEnd"/>
      <w:r>
        <w:rPr>
          <w:rFonts w:ascii="Arial" w:hAnsi="Arial" w:cs="Arial"/>
        </w:rPr>
        <w:t>.</w:t>
      </w:r>
    </w:p>
    <w:p w:rsidR="006C2FFF" w:rsidRDefault="006C2FFF" w:rsidP="006C2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eine </w:t>
      </w:r>
      <w:r w:rsidRPr="00C425E5">
        <w:rPr>
          <w:rFonts w:ascii="Arial" w:hAnsi="Arial" w:cs="Arial"/>
        </w:rPr>
        <w:t xml:space="preserve">Radiorezeptortherapie mit DOTA-konjugierten </w:t>
      </w:r>
      <w:proofErr w:type="spellStart"/>
      <w:r w:rsidRPr="00C425E5">
        <w:rPr>
          <w:rFonts w:ascii="Arial" w:hAnsi="Arial" w:cs="Arial"/>
        </w:rPr>
        <w:t>Somatostatinanaloga</w:t>
      </w:r>
      <w:proofErr w:type="spellEnd"/>
      <w:r>
        <w:rPr>
          <w:rFonts w:ascii="Arial" w:hAnsi="Arial" w:cs="Arial"/>
        </w:rPr>
        <w:t xml:space="preserve"> in seltenen Fällen auch als individueller Heilversuch in anderen Indikationen einsetzt wird, sind auch folgende G-DRGs mit betroffen: B16B, E03Z (hier 62% der Kalkulationsdaten), M10B, R14Z und R62B. Vereinzelt finden sich auch Fälle (§ 21-Daten) in den G-DRGs G07A, I54B und L12B. </w:t>
      </w:r>
    </w:p>
    <w:p w:rsidR="006C2FFF" w:rsidRDefault="006C2FFF" w:rsidP="006C2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ist zu beachten, dass aufgrund der mehrfach erforderlichen Therapien die Fallzahl die Zahl betroffener Patienten um den Faktor vier überschreitet. Verschiebungen im Verhältnis der betroffenen DRGs können damit – bei insgesamt niedriger Fallzahl – schnell auftreten.</w:t>
      </w:r>
    </w:p>
    <w:p w:rsidR="00B66CE5" w:rsidRDefault="00B66CE5" w:rsidP="00857317">
      <w:pPr>
        <w:rPr>
          <w:rFonts w:ascii="Arial" w:hAnsi="Arial" w:cs="Arial"/>
          <w:u w:val="single"/>
        </w:rPr>
      </w:pPr>
      <w:r w:rsidRPr="00B66B58">
        <w:rPr>
          <w:rFonts w:ascii="Arial" w:hAnsi="Arial" w:cs="Arial"/>
          <w:u w:val="single"/>
        </w:rPr>
        <w:t>Welche DRG(s) ist</w:t>
      </w:r>
      <w:r w:rsidR="000E639B">
        <w:rPr>
          <w:rFonts w:ascii="Arial" w:hAnsi="Arial" w:cs="Arial"/>
          <w:u w:val="single"/>
        </w:rPr>
        <w:t>(</w:t>
      </w:r>
      <w:r w:rsidRPr="00B66B58">
        <w:rPr>
          <w:rFonts w:ascii="Arial" w:hAnsi="Arial" w:cs="Arial"/>
          <w:u w:val="single"/>
        </w:rPr>
        <w:t>sind</w:t>
      </w:r>
      <w:r w:rsidR="000E639B">
        <w:rPr>
          <w:rFonts w:ascii="Arial" w:hAnsi="Arial" w:cs="Arial"/>
          <w:u w:val="single"/>
        </w:rPr>
        <w:t>)</w:t>
      </w:r>
      <w:r w:rsidRPr="00B66B58">
        <w:rPr>
          <w:rFonts w:ascii="Arial" w:hAnsi="Arial" w:cs="Arial"/>
          <w:u w:val="single"/>
        </w:rPr>
        <w:t xml:space="preserve"> am häufigsten von dieser Methode betroffen?</w:t>
      </w:r>
    </w:p>
    <w:p w:rsidR="006C2FFF" w:rsidRPr="00B66B58" w:rsidRDefault="006C2FFF" w:rsidP="00857317">
      <w:pPr>
        <w:rPr>
          <w:rFonts w:ascii="Arial" w:hAnsi="Arial" w:cs="Arial"/>
          <w:u w:val="single"/>
        </w:rPr>
      </w:pPr>
      <w:r w:rsidRPr="00957521">
        <w:rPr>
          <w:rFonts w:ascii="Arial" w:hAnsi="Arial" w:cs="Arial"/>
        </w:rPr>
        <w:t>G29B</w:t>
      </w:r>
      <w:r>
        <w:rPr>
          <w:rFonts w:ascii="Arial" w:hAnsi="Arial" w:cs="Arial"/>
        </w:rPr>
        <w:t xml:space="preserve">, </w:t>
      </w:r>
      <w:r w:rsidRPr="00957521">
        <w:rPr>
          <w:rFonts w:ascii="Arial" w:hAnsi="Arial" w:cs="Arial"/>
        </w:rPr>
        <w:t>H16B</w:t>
      </w:r>
      <w:r>
        <w:rPr>
          <w:rFonts w:ascii="Arial" w:hAnsi="Arial" w:cs="Arial"/>
        </w:rPr>
        <w:t xml:space="preserve">, </w:t>
      </w:r>
      <w:r w:rsidRPr="00957521">
        <w:rPr>
          <w:rFonts w:ascii="Arial" w:hAnsi="Arial" w:cs="Arial"/>
        </w:rPr>
        <w:t>K15B</w:t>
      </w:r>
      <w:r>
        <w:rPr>
          <w:rFonts w:ascii="Arial" w:hAnsi="Arial" w:cs="Arial"/>
        </w:rPr>
        <w:t>, (B16B, E03Z, M10B, R14Z, R62B, G07A, I54B und L12B)</w:t>
      </w:r>
    </w:p>
    <w:p w:rsidR="00B66CE5" w:rsidRPr="00B66B58" w:rsidRDefault="00B66CE5" w:rsidP="00B66CE5">
      <w:pPr>
        <w:rPr>
          <w:rFonts w:ascii="Arial" w:hAnsi="Arial" w:cs="Arial"/>
          <w:u w:val="single"/>
        </w:rPr>
      </w:pPr>
      <w:r w:rsidRPr="00B66B58">
        <w:rPr>
          <w:rFonts w:ascii="Arial" w:hAnsi="Arial" w:cs="Arial"/>
          <w:u w:val="single"/>
        </w:rPr>
        <w:t>Warum ist diese Methode aus Ihrer Sicht derzeit im G-DRG-System nicht sachgerecht abgebildet?</w:t>
      </w:r>
    </w:p>
    <w:p w:rsidR="00396F95" w:rsidRDefault="00986BB4" w:rsidP="00EF6E17">
      <w:pPr>
        <w:jc w:val="both"/>
        <w:rPr>
          <w:rFonts w:ascii="Arial" w:hAnsi="Arial" w:cs="Arial"/>
        </w:rPr>
      </w:pPr>
      <w:r w:rsidRPr="00396F95">
        <w:rPr>
          <w:rFonts w:ascii="Arial" w:hAnsi="Arial" w:cs="Arial"/>
        </w:rPr>
        <w:t xml:space="preserve">Die Zulassung für </w:t>
      </w:r>
      <w:proofErr w:type="spellStart"/>
      <w:r w:rsidR="00EF6E17" w:rsidRPr="00396F95">
        <w:rPr>
          <w:rFonts w:ascii="Arial" w:hAnsi="Arial" w:cs="Arial"/>
        </w:rPr>
        <w:t>Lutathera</w:t>
      </w:r>
      <w:proofErr w:type="spellEnd"/>
      <w:r w:rsidR="00EF6E17" w:rsidRPr="00396F95">
        <w:rPr>
          <w:rFonts w:ascii="Arial" w:hAnsi="Arial" w:cs="Arial"/>
          <w:vertAlign w:val="superscript"/>
        </w:rPr>
        <w:t>®</w:t>
      </w:r>
      <w:r w:rsidR="00EF6E17" w:rsidRPr="00396F95">
        <w:rPr>
          <w:rFonts w:ascii="Arial" w:hAnsi="Arial" w:cs="Arial"/>
        </w:rPr>
        <w:t xml:space="preserve"> </w:t>
      </w:r>
      <w:r w:rsidRPr="00396F95">
        <w:rPr>
          <w:rFonts w:ascii="Arial" w:hAnsi="Arial" w:cs="Arial"/>
        </w:rPr>
        <w:t xml:space="preserve">erfolgte im September 2017. </w:t>
      </w:r>
      <w:r w:rsidR="00EF6E17" w:rsidRPr="00396F95">
        <w:rPr>
          <w:rFonts w:ascii="Arial" w:hAnsi="Arial" w:cs="Arial"/>
        </w:rPr>
        <w:t>Der Einsatz erfolgt aufgrund der Vergütungssituation zurückhaltend. Es ist davon auszugehen, dass für 2019 weiterhin die Kosten der Eigenherstellung nach § 13 Abs. 2b AMG mit dem OPS-Kode 8-530.60 assoziiert sind. Eine sachgerechte Abbildung</w:t>
      </w:r>
      <w:r w:rsidR="00396F95" w:rsidRPr="00396F95">
        <w:rPr>
          <w:rFonts w:ascii="Arial" w:hAnsi="Arial" w:cs="Arial"/>
        </w:rPr>
        <w:t xml:space="preserve"> im G-DRG-System 2019</w:t>
      </w:r>
      <w:r w:rsidR="00EF6E17" w:rsidRPr="00396F95">
        <w:rPr>
          <w:rFonts w:ascii="Arial" w:hAnsi="Arial" w:cs="Arial"/>
        </w:rPr>
        <w:t xml:space="preserve"> </w:t>
      </w:r>
      <w:r w:rsidR="00396F95" w:rsidRPr="00396F95">
        <w:rPr>
          <w:rFonts w:ascii="Arial" w:hAnsi="Arial" w:cs="Arial"/>
        </w:rPr>
        <w:t>erfolgte nicht.</w:t>
      </w:r>
      <w:r w:rsidR="00396F95">
        <w:rPr>
          <w:rFonts w:ascii="Arial" w:hAnsi="Arial" w:cs="Arial"/>
        </w:rPr>
        <w:t xml:space="preserve"> </w:t>
      </w:r>
    </w:p>
    <w:p w:rsidR="00986BB4" w:rsidRDefault="00396F95" w:rsidP="00857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unbewertete</w:t>
      </w:r>
      <w:proofErr w:type="spellEnd"/>
      <w:r>
        <w:rPr>
          <w:rFonts w:ascii="Arial" w:hAnsi="Arial" w:cs="Arial"/>
        </w:rPr>
        <w:t xml:space="preserve"> </w:t>
      </w:r>
      <w:r w:rsidR="0098518A">
        <w:rPr>
          <w:rFonts w:ascii="Arial" w:hAnsi="Arial" w:cs="Arial"/>
        </w:rPr>
        <w:t>Zusatzentgelt (</w:t>
      </w:r>
      <w:r>
        <w:rPr>
          <w:rFonts w:ascii="Arial" w:hAnsi="Arial" w:cs="Arial"/>
        </w:rPr>
        <w:t>ZE2019-71</w:t>
      </w:r>
      <w:r w:rsidR="0098518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besteht </w:t>
      </w:r>
      <w:r w:rsidR="0098518A">
        <w:rPr>
          <w:rFonts w:ascii="Arial" w:hAnsi="Arial" w:cs="Arial"/>
        </w:rPr>
        <w:t xml:space="preserve">auch 2019 </w:t>
      </w:r>
      <w:r>
        <w:rPr>
          <w:rFonts w:ascii="Arial" w:hAnsi="Arial" w:cs="Arial"/>
        </w:rPr>
        <w:t xml:space="preserve">unverändert fort. Die </w:t>
      </w:r>
      <w:r w:rsidR="0015198E">
        <w:rPr>
          <w:rFonts w:ascii="Arial" w:hAnsi="Arial" w:cs="Arial"/>
        </w:rPr>
        <w:t xml:space="preserve">vereinbarte </w:t>
      </w:r>
      <w:r>
        <w:rPr>
          <w:rFonts w:ascii="Arial" w:hAnsi="Arial" w:cs="Arial"/>
        </w:rPr>
        <w:t xml:space="preserve">Vergütungshöhe orientiert sich historisch an den Kosten der individuell nach </w:t>
      </w:r>
      <w:r w:rsidRPr="006F2E3B">
        <w:rPr>
          <w:rFonts w:ascii="Arial" w:hAnsi="Arial" w:cs="Arial"/>
        </w:rPr>
        <w:t>§ 13 Abs. 2b AMG</w:t>
      </w:r>
      <w:r>
        <w:rPr>
          <w:rFonts w:ascii="Arial" w:hAnsi="Arial" w:cs="Arial"/>
        </w:rPr>
        <w:t xml:space="preserve"> </w:t>
      </w:r>
      <w:r w:rsidR="0015198E">
        <w:rPr>
          <w:rFonts w:ascii="Arial" w:hAnsi="Arial" w:cs="Arial"/>
        </w:rPr>
        <w:t>hergestellte</w:t>
      </w:r>
      <w:r>
        <w:rPr>
          <w:rFonts w:ascii="Arial" w:hAnsi="Arial" w:cs="Arial"/>
        </w:rPr>
        <w:t xml:space="preserve"> Lu-177-</w:t>
      </w:r>
      <w:r w:rsidRPr="00601814">
        <w:rPr>
          <w:rFonts w:ascii="Arial" w:hAnsi="Arial" w:cs="Arial"/>
        </w:rPr>
        <w:t xml:space="preserve">DOTA-konjugierten </w:t>
      </w:r>
      <w:proofErr w:type="spellStart"/>
      <w:r w:rsidRPr="00601814">
        <w:rPr>
          <w:rFonts w:ascii="Arial" w:hAnsi="Arial" w:cs="Arial"/>
        </w:rPr>
        <w:t>Somatostatinanaloga</w:t>
      </w:r>
      <w:proofErr w:type="spellEnd"/>
      <w:r>
        <w:rPr>
          <w:rFonts w:ascii="Arial" w:hAnsi="Arial" w:cs="Arial"/>
        </w:rPr>
        <w:t xml:space="preserve">. </w:t>
      </w:r>
      <w:r w:rsidR="0015198E">
        <w:rPr>
          <w:rFonts w:ascii="Arial" w:hAnsi="Arial" w:cs="Arial"/>
        </w:rPr>
        <w:t xml:space="preserve">Da es außerhalb der Zulassung von </w:t>
      </w:r>
      <w:proofErr w:type="spellStart"/>
      <w:r w:rsidR="0015198E" w:rsidRPr="00396F95">
        <w:rPr>
          <w:rFonts w:ascii="Arial" w:hAnsi="Arial" w:cs="Arial"/>
        </w:rPr>
        <w:t>Lutathera</w:t>
      </w:r>
      <w:proofErr w:type="spellEnd"/>
      <w:r w:rsidR="0015198E" w:rsidRPr="00396F95">
        <w:rPr>
          <w:rFonts w:ascii="Arial" w:hAnsi="Arial" w:cs="Arial"/>
          <w:vertAlign w:val="superscript"/>
        </w:rPr>
        <w:t>®</w:t>
      </w:r>
      <w:r w:rsidR="0015198E" w:rsidRPr="00396F95">
        <w:rPr>
          <w:rFonts w:ascii="Arial" w:hAnsi="Arial" w:cs="Arial"/>
        </w:rPr>
        <w:t xml:space="preserve"> </w:t>
      </w:r>
      <w:r w:rsidR="0015198E">
        <w:rPr>
          <w:rFonts w:ascii="Arial" w:hAnsi="Arial" w:cs="Arial"/>
        </w:rPr>
        <w:t xml:space="preserve">weiterhin Bedarf für den Einsatz von individuell nach </w:t>
      </w:r>
      <w:r w:rsidR="0015198E" w:rsidRPr="006F2E3B">
        <w:rPr>
          <w:rFonts w:ascii="Arial" w:hAnsi="Arial" w:cs="Arial"/>
        </w:rPr>
        <w:t>§ 13 Abs. 2b AMG</w:t>
      </w:r>
      <w:r w:rsidR="0015198E">
        <w:rPr>
          <w:rFonts w:ascii="Arial" w:hAnsi="Arial" w:cs="Arial"/>
        </w:rPr>
        <w:t xml:space="preserve"> </w:t>
      </w:r>
      <w:r w:rsidR="00A35694">
        <w:rPr>
          <w:rFonts w:ascii="Arial" w:hAnsi="Arial" w:cs="Arial"/>
        </w:rPr>
        <w:t>hergestellten</w:t>
      </w:r>
      <w:r w:rsidR="0015198E">
        <w:rPr>
          <w:rFonts w:ascii="Arial" w:hAnsi="Arial" w:cs="Arial"/>
        </w:rPr>
        <w:t xml:space="preserve"> Lu-177-</w:t>
      </w:r>
      <w:r w:rsidR="0015198E" w:rsidRPr="00601814">
        <w:rPr>
          <w:rFonts w:ascii="Arial" w:hAnsi="Arial" w:cs="Arial"/>
        </w:rPr>
        <w:t xml:space="preserve">DOTA-konjugierten </w:t>
      </w:r>
      <w:proofErr w:type="spellStart"/>
      <w:r w:rsidR="0015198E" w:rsidRPr="00601814">
        <w:rPr>
          <w:rFonts w:ascii="Arial" w:hAnsi="Arial" w:cs="Arial"/>
        </w:rPr>
        <w:t>Somatostatinanaloga</w:t>
      </w:r>
      <w:proofErr w:type="spellEnd"/>
      <w:r w:rsidR="0015198E">
        <w:rPr>
          <w:rFonts w:ascii="Arial" w:hAnsi="Arial" w:cs="Arial"/>
        </w:rPr>
        <w:t xml:space="preserve"> geben könnte, </w:t>
      </w:r>
      <w:r w:rsidR="00A35694">
        <w:rPr>
          <w:rFonts w:ascii="Arial" w:hAnsi="Arial" w:cs="Arial"/>
        </w:rPr>
        <w:t>könnte</w:t>
      </w:r>
      <w:r w:rsidR="0015198E">
        <w:rPr>
          <w:rFonts w:ascii="Arial" w:hAnsi="Arial" w:cs="Arial"/>
        </w:rPr>
        <w:t xml:space="preserve"> es ohne NUB </w:t>
      </w:r>
      <w:r w:rsidR="00A35694">
        <w:rPr>
          <w:rFonts w:ascii="Arial" w:hAnsi="Arial" w:cs="Arial"/>
        </w:rPr>
        <w:t>zur</w:t>
      </w:r>
      <w:r w:rsidR="0015198E">
        <w:rPr>
          <w:rFonts w:ascii="Arial" w:hAnsi="Arial" w:cs="Arial"/>
        </w:rPr>
        <w:t xml:space="preserve"> Bildung von Mischpreisen für das ZE2019-71</w:t>
      </w:r>
      <w:r w:rsidR="00A35694">
        <w:rPr>
          <w:rFonts w:ascii="Arial" w:hAnsi="Arial" w:cs="Arial"/>
        </w:rPr>
        <w:t xml:space="preserve"> kommen</w:t>
      </w:r>
      <w:r w:rsidR="0015198E">
        <w:rPr>
          <w:rFonts w:ascii="Arial" w:hAnsi="Arial" w:cs="Arial"/>
        </w:rPr>
        <w:t xml:space="preserve">. Solche Mischpreise erscheinen wenig sinnvoll und problematisch in den Entgeltverhandlungen. </w:t>
      </w:r>
      <w:r w:rsidR="0098518A">
        <w:rPr>
          <w:rFonts w:ascii="Arial" w:hAnsi="Arial" w:cs="Arial"/>
        </w:rPr>
        <w:t xml:space="preserve">Des Weiteren entstehen Anreize </w:t>
      </w:r>
      <w:r w:rsidR="00A35694">
        <w:rPr>
          <w:rFonts w:ascii="Arial" w:hAnsi="Arial" w:cs="Arial"/>
        </w:rPr>
        <w:t>wegen</w:t>
      </w:r>
      <w:r w:rsidR="0098518A">
        <w:rPr>
          <w:rFonts w:ascii="Arial" w:hAnsi="Arial" w:cs="Arial"/>
        </w:rPr>
        <w:t xml:space="preserve"> Unter- und Übervergütungen durch die Auswahl des Produktes im Einzelfall. </w:t>
      </w:r>
      <w:r w:rsidR="0015198E">
        <w:rPr>
          <w:rFonts w:ascii="Arial" w:hAnsi="Arial" w:cs="Arial"/>
        </w:rPr>
        <w:t xml:space="preserve">Hinzu kommt, dass sich das </w:t>
      </w:r>
      <w:r w:rsidR="0098518A">
        <w:rPr>
          <w:rFonts w:ascii="Arial" w:hAnsi="Arial" w:cs="Arial"/>
        </w:rPr>
        <w:t>V</w:t>
      </w:r>
      <w:r w:rsidR="0015198E">
        <w:rPr>
          <w:rFonts w:ascii="Arial" w:hAnsi="Arial" w:cs="Arial"/>
        </w:rPr>
        <w:t xml:space="preserve">erhältnis </w:t>
      </w:r>
      <w:r w:rsidR="0098518A">
        <w:rPr>
          <w:rFonts w:ascii="Arial" w:hAnsi="Arial" w:cs="Arial"/>
        </w:rPr>
        <w:t xml:space="preserve">des Einsatzes von </w:t>
      </w:r>
      <w:proofErr w:type="spellStart"/>
      <w:r w:rsidR="0098518A" w:rsidRPr="00396F95">
        <w:rPr>
          <w:rFonts w:ascii="Arial" w:hAnsi="Arial" w:cs="Arial"/>
        </w:rPr>
        <w:t>Lutathera</w:t>
      </w:r>
      <w:proofErr w:type="spellEnd"/>
      <w:r w:rsidR="0098518A" w:rsidRPr="00396F95">
        <w:rPr>
          <w:rFonts w:ascii="Arial" w:hAnsi="Arial" w:cs="Arial"/>
          <w:vertAlign w:val="superscript"/>
        </w:rPr>
        <w:t>®</w:t>
      </w:r>
      <w:r w:rsidR="0098518A">
        <w:rPr>
          <w:rFonts w:ascii="Arial" w:hAnsi="Arial" w:cs="Arial"/>
          <w:vertAlign w:val="superscript"/>
        </w:rPr>
        <w:t xml:space="preserve"> </w:t>
      </w:r>
      <w:r w:rsidR="0098518A">
        <w:rPr>
          <w:rFonts w:ascii="Arial" w:hAnsi="Arial" w:cs="Arial"/>
        </w:rPr>
        <w:t>im Rahmen der Zulassung einerseits und von Lu-177-</w:t>
      </w:r>
      <w:r w:rsidR="0098518A" w:rsidRPr="00601814">
        <w:rPr>
          <w:rFonts w:ascii="Arial" w:hAnsi="Arial" w:cs="Arial"/>
        </w:rPr>
        <w:t xml:space="preserve">DOTA-konjugierten </w:t>
      </w:r>
      <w:proofErr w:type="spellStart"/>
      <w:r w:rsidR="0098518A" w:rsidRPr="00601814">
        <w:rPr>
          <w:rFonts w:ascii="Arial" w:hAnsi="Arial" w:cs="Arial"/>
        </w:rPr>
        <w:t>Somatostatinanaloga</w:t>
      </w:r>
      <w:proofErr w:type="spellEnd"/>
      <w:r w:rsidR="0098518A">
        <w:rPr>
          <w:rFonts w:ascii="Arial" w:hAnsi="Arial" w:cs="Arial"/>
        </w:rPr>
        <w:t xml:space="preserve"> </w:t>
      </w:r>
      <w:r w:rsidR="00F92F66">
        <w:rPr>
          <w:rFonts w:ascii="Arial" w:hAnsi="Arial" w:cs="Arial"/>
        </w:rPr>
        <w:t xml:space="preserve">aus Eigenherstellung </w:t>
      </w:r>
      <w:r w:rsidR="0098518A">
        <w:rPr>
          <w:rFonts w:ascii="Arial" w:hAnsi="Arial" w:cs="Arial"/>
        </w:rPr>
        <w:t xml:space="preserve">außerhalb der Zulassung von </w:t>
      </w:r>
      <w:proofErr w:type="spellStart"/>
      <w:r w:rsidR="0098518A" w:rsidRPr="00396F95">
        <w:rPr>
          <w:rFonts w:ascii="Arial" w:hAnsi="Arial" w:cs="Arial"/>
        </w:rPr>
        <w:t>Lutathera</w:t>
      </w:r>
      <w:proofErr w:type="spellEnd"/>
      <w:r w:rsidR="0098518A" w:rsidRPr="00396F95">
        <w:rPr>
          <w:rFonts w:ascii="Arial" w:hAnsi="Arial" w:cs="Arial"/>
          <w:vertAlign w:val="superscript"/>
        </w:rPr>
        <w:t>®</w:t>
      </w:r>
      <w:r w:rsidR="0098518A">
        <w:rPr>
          <w:rFonts w:ascii="Arial" w:hAnsi="Arial" w:cs="Arial"/>
        </w:rPr>
        <w:t xml:space="preserve"> andererseits, b</w:t>
      </w:r>
      <w:r w:rsidR="0015198E">
        <w:rPr>
          <w:rFonts w:ascii="Arial" w:hAnsi="Arial" w:cs="Arial"/>
        </w:rPr>
        <w:t xml:space="preserve">ei insgesamt geringer Fallzahl </w:t>
      </w:r>
      <w:r w:rsidR="00A35694">
        <w:rPr>
          <w:rFonts w:ascii="Arial" w:hAnsi="Arial" w:cs="Arial"/>
        </w:rPr>
        <w:t>und jeweils mehr</w:t>
      </w:r>
      <w:r w:rsidR="0015198E">
        <w:rPr>
          <w:rFonts w:ascii="Arial" w:hAnsi="Arial" w:cs="Arial"/>
        </w:rPr>
        <w:t xml:space="preserve">fachem Einsatz des ausgewählten Produktes kaum prospektiv </w:t>
      </w:r>
      <w:r w:rsidR="0015198E">
        <w:rPr>
          <w:rFonts w:ascii="Arial" w:hAnsi="Arial" w:cs="Arial"/>
        </w:rPr>
        <w:lastRenderedPageBreak/>
        <w:t xml:space="preserve">voraussagen lässt. </w:t>
      </w:r>
      <w:r w:rsidR="0098518A">
        <w:rPr>
          <w:rFonts w:ascii="Arial" w:hAnsi="Arial" w:cs="Arial"/>
        </w:rPr>
        <w:t xml:space="preserve">Mischpreise beinhalten damit ein Risiko für beide Vertragsparteien. Ein additives NUB-Entgelt, das die Differenzkosten zur Eigenherstellung abbildet, würde </w:t>
      </w:r>
      <w:r w:rsidR="00947D6E">
        <w:rPr>
          <w:rFonts w:ascii="Arial" w:hAnsi="Arial" w:cs="Arial"/>
        </w:rPr>
        <w:t xml:space="preserve">hingegen </w:t>
      </w:r>
      <w:r w:rsidR="0098518A">
        <w:rPr>
          <w:rFonts w:ascii="Arial" w:hAnsi="Arial" w:cs="Arial"/>
        </w:rPr>
        <w:t>die Verhandlungen vor Ort deutlich vereinfachen und Fehlanreize vermeiden helfen.</w:t>
      </w:r>
    </w:p>
    <w:sectPr w:rsidR="00986B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25A"/>
    <w:multiLevelType w:val="hybridMultilevel"/>
    <w:tmpl w:val="79AAE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0D15"/>
    <w:multiLevelType w:val="hybridMultilevel"/>
    <w:tmpl w:val="0E68F6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100B"/>
    <w:multiLevelType w:val="hybridMultilevel"/>
    <w:tmpl w:val="57108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F53"/>
    <w:rsid w:val="0001537D"/>
    <w:rsid w:val="00022B34"/>
    <w:rsid w:val="00037547"/>
    <w:rsid w:val="00043A21"/>
    <w:rsid w:val="00087BFF"/>
    <w:rsid w:val="000E24DC"/>
    <w:rsid w:val="000E639B"/>
    <w:rsid w:val="0015198E"/>
    <w:rsid w:val="00176FFA"/>
    <w:rsid w:val="0018304B"/>
    <w:rsid w:val="0019232F"/>
    <w:rsid w:val="001B3190"/>
    <w:rsid w:val="00201C51"/>
    <w:rsid w:val="002364E9"/>
    <w:rsid w:val="0025508E"/>
    <w:rsid w:val="00277716"/>
    <w:rsid w:val="002828A2"/>
    <w:rsid w:val="002B1DF0"/>
    <w:rsid w:val="002F18E8"/>
    <w:rsid w:val="00372A56"/>
    <w:rsid w:val="00396F95"/>
    <w:rsid w:val="003A17DF"/>
    <w:rsid w:val="003B6952"/>
    <w:rsid w:val="003C5F8A"/>
    <w:rsid w:val="0044080E"/>
    <w:rsid w:val="00460307"/>
    <w:rsid w:val="004820BB"/>
    <w:rsid w:val="00487E5C"/>
    <w:rsid w:val="004B4DE6"/>
    <w:rsid w:val="004B6778"/>
    <w:rsid w:val="004C0E45"/>
    <w:rsid w:val="004C2112"/>
    <w:rsid w:val="004C7ECD"/>
    <w:rsid w:val="004D1A17"/>
    <w:rsid w:val="004D5695"/>
    <w:rsid w:val="004E711A"/>
    <w:rsid w:val="004F498F"/>
    <w:rsid w:val="00551BB7"/>
    <w:rsid w:val="005557D2"/>
    <w:rsid w:val="005E5104"/>
    <w:rsid w:val="00601814"/>
    <w:rsid w:val="00614958"/>
    <w:rsid w:val="00643DA9"/>
    <w:rsid w:val="00661EFB"/>
    <w:rsid w:val="006C1F1C"/>
    <w:rsid w:val="006C2FFF"/>
    <w:rsid w:val="006E0F58"/>
    <w:rsid w:val="006E291D"/>
    <w:rsid w:val="006E30D4"/>
    <w:rsid w:val="006E4BA0"/>
    <w:rsid w:val="006F2E3B"/>
    <w:rsid w:val="00735172"/>
    <w:rsid w:val="007507BE"/>
    <w:rsid w:val="00772644"/>
    <w:rsid w:val="007A1EE1"/>
    <w:rsid w:val="007B77DA"/>
    <w:rsid w:val="007C11BD"/>
    <w:rsid w:val="007C2B83"/>
    <w:rsid w:val="00802F91"/>
    <w:rsid w:val="00807236"/>
    <w:rsid w:val="008338CC"/>
    <w:rsid w:val="00836A83"/>
    <w:rsid w:val="0085071D"/>
    <w:rsid w:val="00852AC8"/>
    <w:rsid w:val="00854B15"/>
    <w:rsid w:val="00857317"/>
    <w:rsid w:val="008769FB"/>
    <w:rsid w:val="0089610C"/>
    <w:rsid w:val="008B0264"/>
    <w:rsid w:val="008B4BAC"/>
    <w:rsid w:val="008F475D"/>
    <w:rsid w:val="009258A1"/>
    <w:rsid w:val="00931AE7"/>
    <w:rsid w:val="00934556"/>
    <w:rsid w:val="00947D6E"/>
    <w:rsid w:val="00957521"/>
    <w:rsid w:val="0098518A"/>
    <w:rsid w:val="00986BB4"/>
    <w:rsid w:val="009A1DD0"/>
    <w:rsid w:val="009B7AF5"/>
    <w:rsid w:val="009F130D"/>
    <w:rsid w:val="00A21354"/>
    <w:rsid w:val="00A35694"/>
    <w:rsid w:val="00A54423"/>
    <w:rsid w:val="00A571C4"/>
    <w:rsid w:val="00A6345E"/>
    <w:rsid w:val="00AD0A09"/>
    <w:rsid w:val="00B00FEF"/>
    <w:rsid w:val="00B322CA"/>
    <w:rsid w:val="00B66B58"/>
    <w:rsid w:val="00B66CE5"/>
    <w:rsid w:val="00B719C6"/>
    <w:rsid w:val="00B72ACE"/>
    <w:rsid w:val="00B7748F"/>
    <w:rsid w:val="00B80CA4"/>
    <w:rsid w:val="00B90D58"/>
    <w:rsid w:val="00BC3B21"/>
    <w:rsid w:val="00BD137D"/>
    <w:rsid w:val="00BF059D"/>
    <w:rsid w:val="00BF126D"/>
    <w:rsid w:val="00C052F5"/>
    <w:rsid w:val="00C05BA3"/>
    <w:rsid w:val="00C157B5"/>
    <w:rsid w:val="00C26F4B"/>
    <w:rsid w:val="00C425E5"/>
    <w:rsid w:val="00C42E79"/>
    <w:rsid w:val="00C561E7"/>
    <w:rsid w:val="00C629DE"/>
    <w:rsid w:val="00CC4A0A"/>
    <w:rsid w:val="00CE4D15"/>
    <w:rsid w:val="00D016ED"/>
    <w:rsid w:val="00D07686"/>
    <w:rsid w:val="00D07B78"/>
    <w:rsid w:val="00D14BAF"/>
    <w:rsid w:val="00D4705C"/>
    <w:rsid w:val="00D47E3F"/>
    <w:rsid w:val="00D5032A"/>
    <w:rsid w:val="00D611F3"/>
    <w:rsid w:val="00D67614"/>
    <w:rsid w:val="00D81970"/>
    <w:rsid w:val="00D97324"/>
    <w:rsid w:val="00DB5F53"/>
    <w:rsid w:val="00DC4EFE"/>
    <w:rsid w:val="00DE5421"/>
    <w:rsid w:val="00E21BEE"/>
    <w:rsid w:val="00E24186"/>
    <w:rsid w:val="00E63A05"/>
    <w:rsid w:val="00E6528A"/>
    <w:rsid w:val="00E832D3"/>
    <w:rsid w:val="00EF6E17"/>
    <w:rsid w:val="00F10406"/>
    <w:rsid w:val="00F129B8"/>
    <w:rsid w:val="00F14C77"/>
    <w:rsid w:val="00F43EB5"/>
    <w:rsid w:val="00F92F66"/>
    <w:rsid w:val="00FB0C24"/>
    <w:rsid w:val="00FB1DBB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73FEF-841E-48C3-824E-410866BD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C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BA0"/>
    <w:rPr>
      <w:color w:val="800080" w:themeColor="followedHyperlink"/>
      <w:u w:val="single"/>
    </w:rPr>
  </w:style>
  <w:style w:type="table" w:styleId="TableGrid">
    <w:name w:val="Table Grid"/>
    <w:basedOn w:val="TableNormal"/>
    <w:rsid w:val="0098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833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78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5192">
                              <w:marLeft w:val="42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9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8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9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4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8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9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4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5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37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-drg.de/cms/InEK_Datenportal" TargetMode="External"/><Relationship Id="rId5" Type="http://schemas.openxmlformats.org/officeDocument/2006/relationships/hyperlink" Target="https://daten.ine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D522EB59</Template>
  <TotalTime>0</TotalTime>
  <Pages>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Popova</cp:lastModifiedBy>
  <cp:revision>18</cp:revision>
  <dcterms:created xsi:type="dcterms:W3CDTF">2018-09-03T06:42:00Z</dcterms:created>
  <dcterms:modified xsi:type="dcterms:W3CDTF">2018-10-08T05:32:00Z</dcterms:modified>
</cp:coreProperties>
</file>