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DF" w:rsidRPr="0078138F" w:rsidRDefault="0078138F" w:rsidP="006B42DB">
      <w:pPr>
        <w:spacing w:line="276" w:lineRule="auto"/>
        <w:outlineLvl w:val="0"/>
        <w:rPr>
          <w:rFonts w:asciiTheme="minorHAnsi" w:hAnsiTheme="minorHAnsi" w:cs="Arial"/>
          <w:b/>
          <w:sz w:val="28"/>
        </w:rPr>
      </w:pPr>
      <w:bookmarkStart w:id="0" w:name="_GoBack"/>
      <w:bookmarkEnd w:id="0"/>
      <w:r w:rsidRPr="0078138F">
        <w:rPr>
          <w:rFonts w:asciiTheme="minorHAnsi" w:hAnsiTheme="minorHAnsi" w:cs="Arial"/>
          <w:b/>
          <w:sz w:val="28"/>
        </w:rPr>
        <w:t>NUB-Anfrage</w:t>
      </w:r>
      <w:r w:rsidR="00430D88" w:rsidRPr="0078138F">
        <w:rPr>
          <w:rFonts w:asciiTheme="minorHAnsi" w:hAnsiTheme="minorHAnsi" w:cs="Arial"/>
          <w:b/>
          <w:sz w:val="28"/>
        </w:rPr>
        <w:t xml:space="preserve"> </w:t>
      </w:r>
      <w:r w:rsidRPr="0078138F">
        <w:rPr>
          <w:rFonts w:asciiTheme="minorHAnsi" w:hAnsiTheme="minorHAnsi" w:cs="Arial"/>
          <w:b/>
          <w:sz w:val="28"/>
        </w:rPr>
        <w:t xml:space="preserve">nach § 6 Abs. 2 KHEntgG </w:t>
      </w:r>
      <w:r w:rsidR="00430D88" w:rsidRPr="0078138F">
        <w:rPr>
          <w:rFonts w:asciiTheme="minorHAnsi" w:hAnsiTheme="minorHAnsi" w:cs="Arial"/>
          <w:b/>
          <w:sz w:val="28"/>
        </w:rPr>
        <w:t xml:space="preserve">für </w:t>
      </w:r>
      <w:r w:rsidR="008052DE">
        <w:rPr>
          <w:rFonts w:asciiTheme="minorHAnsi" w:hAnsiTheme="minorHAnsi" w:cs="Arial"/>
          <w:b/>
          <w:sz w:val="28"/>
        </w:rPr>
        <w:t>LYMPHOSEEK</w:t>
      </w:r>
      <w:r w:rsidR="00430D88" w:rsidRPr="0078138F">
        <w:rPr>
          <w:rStyle w:val="label3"/>
          <w:rFonts w:asciiTheme="minorHAnsi" w:hAnsiTheme="minorHAnsi" w:cs="Arial"/>
          <w:sz w:val="28"/>
          <w:vertAlign w:val="superscript"/>
          <w:specVanish w:val="0"/>
        </w:rPr>
        <w:sym w:font="Symbol" w:char="F0D2"/>
      </w:r>
      <w:r w:rsidR="00430D88" w:rsidRPr="0078138F">
        <w:rPr>
          <w:rFonts w:asciiTheme="minorHAnsi" w:hAnsiTheme="minorHAnsi" w:cs="Arial"/>
          <w:b/>
          <w:sz w:val="28"/>
        </w:rPr>
        <w:t xml:space="preserve"> (</w:t>
      </w:r>
      <w:proofErr w:type="spellStart"/>
      <w:r w:rsidR="006178AE" w:rsidRPr="0078138F">
        <w:rPr>
          <w:rFonts w:asciiTheme="minorHAnsi" w:hAnsiTheme="minorHAnsi" w:cs="Arial"/>
          <w:b/>
          <w:sz w:val="28"/>
        </w:rPr>
        <w:t>T</w:t>
      </w:r>
      <w:r w:rsidR="00430D88" w:rsidRPr="0078138F">
        <w:rPr>
          <w:rFonts w:asciiTheme="minorHAnsi" w:hAnsiTheme="minorHAnsi" w:cs="Arial"/>
          <w:b/>
          <w:sz w:val="28"/>
        </w:rPr>
        <w:t>ilmanocept</w:t>
      </w:r>
      <w:proofErr w:type="spellEnd"/>
      <w:r w:rsidR="00430D88" w:rsidRPr="0078138F">
        <w:rPr>
          <w:rFonts w:asciiTheme="minorHAnsi" w:hAnsiTheme="minorHAnsi" w:cs="Arial"/>
          <w:b/>
          <w:sz w:val="28"/>
        </w:rPr>
        <w:t>)</w:t>
      </w:r>
    </w:p>
    <w:p w:rsidR="00291E89" w:rsidRDefault="00291E89" w:rsidP="00556EBD">
      <w:pPr>
        <w:pStyle w:val="berschrift1"/>
      </w:pPr>
      <w:r>
        <w:t>Stammformblatt</w:t>
      </w:r>
    </w:p>
    <w:p w:rsidR="00291E89" w:rsidRDefault="00291E89" w:rsidP="00493DBC">
      <w:pPr>
        <w:spacing w:line="276" w:lineRule="auto"/>
        <w:rPr>
          <w:rFonts w:asciiTheme="minorHAnsi" w:hAnsiTheme="minorHAnsi" w:cs="Arial"/>
          <w:b/>
          <w:bCs/>
          <w:u w:val="single"/>
        </w:rPr>
      </w:pPr>
    </w:p>
    <w:p w:rsidR="00291E89" w:rsidRDefault="00291E89" w:rsidP="00291E89">
      <w:pPr>
        <w:spacing w:line="276" w:lineRule="auto"/>
        <w:rPr>
          <w:rFonts w:asciiTheme="minorHAnsi" w:hAnsiTheme="minorHAnsi" w:cs="Arial"/>
          <w:b/>
          <w:bCs/>
        </w:rPr>
      </w:pPr>
      <w:r w:rsidRPr="00291E89">
        <w:rPr>
          <w:rFonts w:asciiTheme="minorHAnsi" w:hAnsiTheme="minorHAnsi" w:cs="Arial"/>
          <w:b/>
          <w:bCs/>
        </w:rPr>
        <w:t>Wird diese Anfrage durch Sie stellvertretend für mehrere Krankenhäuser Ihres Krankenhausverbundes gestellt? Wenn ja, ge</w:t>
      </w:r>
      <w:r>
        <w:rPr>
          <w:rFonts w:asciiTheme="minorHAnsi" w:hAnsiTheme="minorHAnsi" w:cs="Arial"/>
          <w:b/>
          <w:bCs/>
        </w:rPr>
        <w:t>ben Sie bitte die IK-Nummern an</w:t>
      </w:r>
    </w:p>
    <w:p w:rsidR="00291E89" w:rsidRDefault="00291E89" w:rsidP="00291E89">
      <w:pPr>
        <w:spacing w:line="276" w:lineRule="auto"/>
        <w:rPr>
          <w:rFonts w:asciiTheme="minorHAnsi" w:hAnsiTheme="minorHAnsi" w:cs="Arial"/>
          <w:b/>
          <w:bCs/>
        </w:rPr>
      </w:pPr>
    </w:p>
    <w:p w:rsidR="00291E89" w:rsidRPr="00291E89" w:rsidRDefault="00291E89" w:rsidP="006B42DB">
      <w:pPr>
        <w:spacing w:line="276" w:lineRule="auto"/>
        <w:outlineLvl w:val="0"/>
        <w:rPr>
          <w:rFonts w:asciiTheme="minorHAnsi" w:hAnsiTheme="minorHAnsi" w:cs="Arial"/>
          <w:bCs/>
        </w:rPr>
      </w:pPr>
      <w:r w:rsidRPr="00F64F5D">
        <w:rPr>
          <w:rFonts w:asciiTheme="minorHAnsi" w:hAnsiTheme="minorHAnsi" w:cs="Arial"/>
          <w:bCs/>
          <w:highlight w:val="yellow"/>
        </w:rPr>
        <w:t>Krankenhausindividuell auszufüllen.</w:t>
      </w:r>
    </w:p>
    <w:p w:rsidR="00BA18DF" w:rsidRDefault="00BA18DF" w:rsidP="00493DBC">
      <w:pPr>
        <w:spacing w:line="276" w:lineRule="auto"/>
        <w:rPr>
          <w:rFonts w:asciiTheme="minorHAnsi" w:hAnsiTheme="minorHAnsi" w:cs="Arial"/>
          <w:b/>
          <w:bCs/>
        </w:rPr>
      </w:pPr>
    </w:p>
    <w:p w:rsidR="00291E89" w:rsidRDefault="00291E89" w:rsidP="00493DBC">
      <w:pPr>
        <w:spacing w:line="276" w:lineRule="auto"/>
        <w:rPr>
          <w:rFonts w:asciiTheme="minorHAnsi" w:hAnsiTheme="minorHAnsi" w:cs="Arial"/>
          <w:b/>
        </w:rPr>
      </w:pPr>
      <w:r w:rsidRPr="00291E89">
        <w:rPr>
          <w:rFonts w:asciiTheme="minorHAnsi" w:hAnsiTheme="minorHAnsi" w:cs="Arial"/>
          <w:b/>
        </w:rPr>
        <w:t>Haben Sie externe Hilfestellungen zum Ausfüllen der Formblätter in Anspruch genommen? Wenn ja, geben Sie bitte an, welche Hilfestellung Sie in Anspruch genommen haben</w:t>
      </w:r>
      <w:r>
        <w:rPr>
          <w:rFonts w:asciiTheme="minorHAnsi" w:hAnsiTheme="minorHAnsi" w:cs="Arial"/>
          <w:b/>
        </w:rPr>
        <w:t>.</w:t>
      </w:r>
    </w:p>
    <w:p w:rsidR="00291E89" w:rsidRDefault="00291E89" w:rsidP="00493DBC">
      <w:pPr>
        <w:spacing w:line="276" w:lineRule="auto"/>
        <w:rPr>
          <w:rFonts w:asciiTheme="minorHAnsi" w:hAnsiTheme="minorHAnsi" w:cs="Arial"/>
          <w:b/>
        </w:rPr>
      </w:pPr>
    </w:p>
    <w:p w:rsidR="00291E89" w:rsidRDefault="00291E89" w:rsidP="00291E89">
      <w:pPr>
        <w:spacing w:line="276" w:lineRule="auto"/>
        <w:rPr>
          <w:rFonts w:asciiTheme="minorHAnsi" w:hAnsiTheme="minorHAnsi" w:cs="Arial"/>
        </w:rPr>
      </w:pPr>
      <w:r w:rsidRPr="00F64F5D">
        <w:rPr>
          <w:rFonts w:asciiTheme="minorHAnsi" w:hAnsiTheme="minorHAnsi" w:cs="Arial"/>
          <w:highlight w:val="yellow"/>
        </w:rPr>
        <w:t xml:space="preserve">Dieser Antrag wurde durch die </w:t>
      </w:r>
      <w:r w:rsidR="009A781F">
        <w:rPr>
          <w:rFonts w:asciiTheme="minorHAnsi" w:hAnsiTheme="minorHAnsi" w:cs="Arial"/>
          <w:highlight w:val="yellow"/>
        </w:rPr>
        <w:t>IMC clinicon (</w:t>
      </w:r>
      <w:r w:rsidR="0078138F">
        <w:rPr>
          <w:rFonts w:asciiTheme="minorHAnsi" w:hAnsiTheme="minorHAnsi" w:cs="Arial"/>
          <w:highlight w:val="yellow"/>
        </w:rPr>
        <w:t>IGES Institut GmbH</w:t>
      </w:r>
      <w:r w:rsidR="009A781F">
        <w:rPr>
          <w:rFonts w:asciiTheme="minorHAnsi" w:hAnsiTheme="minorHAnsi" w:cs="Arial"/>
          <w:highlight w:val="yellow"/>
        </w:rPr>
        <w:t xml:space="preserve">) und die </w:t>
      </w:r>
      <w:r w:rsidR="009A781F" w:rsidRPr="00F64F5D">
        <w:rPr>
          <w:rFonts w:asciiTheme="minorHAnsi" w:hAnsiTheme="minorHAnsi" w:cs="Arial"/>
          <w:highlight w:val="yellow"/>
        </w:rPr>
        <w:t>Firma Norgine GmbH</w:t>
      </w:r>
      <w:r w:rsidRPr="00F64F5D">
        <w:rPr>
          <w:rFonts w:asciiTheme="minorHAnsi" w:hAnsiTheme="minorHAnsi" w:cs="Arial"/>
          <w:highlight w:val="yellow"/>
        </w:rPr>
        <w:t xml:space="preserve"> vorformuliert.</w:t>
      </w:r>
    </w:p>
    <w:p w:rsidR="00291E89" w:rsidRDefault="00291E89" w:rsidP="00291E89">
      <w:pPr>
        <w:spacing w:line="276" w:lineRule="auto"/>
        <w:rPr>
          <w:rFonts w:asciiTheme="minorHAnsi" w:hAnsiTheme="minorHAnsi" w:cs="Arial"/>
        </w:rPr>
      </w:pPr>
    </w:p>
    <w:p w:rsidR="00291E89" w:rsidRPr="00291E89" w:rsidRDefault="00291E89" w:rsidP="00556EBD">
      <w:pPr>
        <w:pStyle w:val="berschrift1"/>
      </w:pPr>
      <w:r w:rsidRPr="00291E89">
        <w:t xml:space="preserve">Beschreibung </w:t>
      </w:r>
    </w:p>
    <w:p w:rsidR="00B80BF1" w:rsidRPr="000508A7" w:rsidRDefault="00B80BF1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 xml:space="preserve">Angefragte Untersuchungs- und Behandlungsmethode </w:t>
      </w:r>
    </w:p>
    <w:p w:rsidR="00BA18DF" w:rsidRPr="000508A7" w:rsidRDefault="00430D88" w:rsidP="00493DBC">
      <w:pPr>
        <w:spacing w:line="276" w:lineRule="auto"/>
        <w:rPr>
          <w:rStyle w:val="label3"/>
          <w:rFonts w:asciiTheme="minorHAnsi" w:hAnsiTheme="minorHAnsi" w:cs="Arial"/>
        </w:rPr>
      </w:pPr>
      <w:r w:rsidRPr="000508A7">
        <w:rPr>
          <w:rStyle w:val="label3"/>
          <w:rFonts w:asciiTheme="minorHAnsi" w:hAnsiTheme="minorHAnsi" w:cs="Arial"/>
          <w:specVanish w:val="0"/>
        </w:rPr>
        <w:t xml:space="preserve">Sentinel-Lymphknotenbiopsie mittels </w:t>
      </w:r>
      <w:r w:rsidR="006178AE">
        <w:rPr>
          <w:rStyle w:val="label3"/>
          <w:rFonts w:asciiTheme="minorHAnsi" w:hAnsiTheme="minorHAnsi" w:cs="Arial"/>
          <w:specVanish w:val="0"/>
        </w:rPr>
        <w:t>radioaktiv markiertem (</w:t>
      </w:r>
      <w:proofErr w:type="spellStart"/>
      <w:r w:rsidR="00AB5F44" w:rsidRPr="000508A7">
        <w:rPr>
          <w:rFonts w:asciiTheme="minorHAnsi" w:hAnsiTheme="minorHAnsi" w:cs="Arial"/>
        </w:rPr>
        <w:t>technetium</w:t>
      </w:r>
      <w:proofErr w:type="spellEnd"/>
      <w:r w:rsidR="00AB5F44" w:rsidRPr="000508A7">
        <w:rPr>
          <w:rFonts w:asciiTheme="minorHAnsi" w:hAnsiTheme="minorHAnsi" w:cs="Arial"/>
        </w:rPr>
        <w:t xml:space="preserve"> </w:t>
      </w:r>
      <w:proofErr w:type="spellStart"/>
      <w:r w:rsidR="00AB5F44" w:rsidRPr="000508A7">
        <w:rPr>
          <w:rFonts w:asciiTheme="minorHAnsi" w:hAnsiTheme="minorHAnsi" w:cs="Arial"/>
        </w:rPr>
        <w:t>Tc</w:t>
      </w:r>
      <w:proofErr w:type="spellEnd"/>
      <w:r w:rsidR="00AB5F44" w:rsidRPr="000508A7">
        <w:rPr>
          <w:rFonts w:asciiTheme="minorHAnsi" w:hAnsiTheme="minorHAnsi" w:cs="Arial"/>
        </w:rPr>
        <w:t xml:space="preserve"> 99m</w:t>
      </w:r>
      <w:r w:rsidR="006178AE">
        <w:rPr>
          <w:rFonts w:asciiTheme="minorHAnsi" w:hAnsiTheme="minorHAnsi" w:cs="Arial"/>
        </w:rPr>
        <w:t>)</w:t>
      </w:r>
      <w:r w:rsidR="00AB5F44" w:rsidRPr="000508A7">
        <w:rPr>
          <w:rFonts w:asciiTheme="minorHAnsi" w:hAnsiTheme="minorHAnsi" w:cs="Arial"/>
        </w:rPr>
        <w:t xml:space="preserve"> </w:t>
      </w:r>
      <w:proofErr w:type="spellStart"/>
      <w:r w:rsidR="006178AE">
        <w:rPr>
          <w:rFonts w:asciiTheme="minorHAnsi" w:hAnsiTheme="minorHAnsi" w:cs="Arial"/>
        </w:rPr>
        <w:t>T</w:t>
      </w:r>
      <w:r w:rsidR="00AB5F44" w:rsidRPr="000508A7">
        <w:rPr>
          <w:rFonts w:asciiTheme="minorHAnsi" w:hAnsiTheme="minorHAnsi" w:cs="Arial"/>
        </w:rPr>
        <w:t>ilmanocept</w:t>
      </w:r>
      <w:proofErr w:type="spellEnd"/>
      <w:r w:rsidR="00AB5F44" w:rsidRPr="000508A7">
        <w:rPr>
          <w:rFonts w:asciiTheme="minorHAnsi" w:hAnsiTheme="minorHAnsi" w:cs="Arial"/>
        </w:rPr>
        <w:t xml:space="preserve"> </w:t>
      </w:r>
      <w:r w:rsidR="00AB5F44" w:rsidRPr="000508A7">
        <w:rPr>
          <w:rStyle w:val="label3"/>
          <w:rFonts w:asciiTheme="minorHAnsi" w:hAnsiTheme="minorHAnsi" w:cs="Arial"/>
          <w:specVanish w:val="0"/>
        </w:rPr>
        <w:t>(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AB5F44" w:rsidRPr="000508A7">
        <w:rPr>
          <w:rStyle w:val="label3"/>
          <w:rFonts w:asciiTheme="minorHAnsi" w:hAnsiTheme="minorHAnsi" w:cs="Arial"/>
          <w:specVanish w:val="0"/>
        </w:rPr>
        <w:t>)</w:t>
      </w:r>
      <w:r w:rsidRPr="000508A7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 xml:space="preserve">Alternative Bezeichnung(en) der Methode </w:t>
      </w:r>
    </w:p>
    <w:p w:rsidR="00B80BF1" w:rsidRPr="000508A7" w:rsidRDefault="00B80BF1" w:rsidP="00493DBC">
      <w:pPr>
        <w:spacing w:line="276" w:lineRule="auto"/>
        <w:rPr>
          <w:rFonts w:asciiTheme="minorHAnsi" w:hAnsiTheme="minorHAnsi" w:cs="Arial"/>
        </w:rPr>
      </w:pPr>
    </w:p>
    <w:p w:rsidR="00633C70" w:rsidRDefault="00291E89" w:rsidP="006B42DB">
      <w:pPr>
        <w:spacing w:line="276" w:lineRule="auto"/>
        <w:outlineLvl w:val="0"/>
        <w:rPr>
          <w:rStyle w:val="label3"/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T</w:t>
      </w:r>
      <w:r w:rsidRPr="000508A7">
        <w:rPr>
          <w:rFonts w:asciiTheme="minorHAnsi" w:hAnsiTheme="minorHAnsi" w:cs="Arial"/>
        </w:rPr>
        <w:t>ilmanocept</w:t>
      </w:r>
      <w:proofErr w:type="spellEnd"/>
      <w:r w:rsidRPr="000508A7">
        <w:rPr>
          <w:rFonts w:asciiTheme="minorHAnsi" w:hAnsiTheme="minorHAnsi" w:cs="Arial"/>
        </w:rPr>
        <w:t xml:space="preserve"> </w:t>
      </w:r>
      <w:r w:rsidRPr="000508A7">
        <w:rPr>
          <w:rStyle w:val="label3"/>
          <w:rFonts w:asciiTheme="minorHAnsi" w:hAnsiTheme="minorHAnsi" w:cs="Arial"/>
          <w:specVanish w:val="0"/>
        </w:rPr>
        <w:t>(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Pr="000508A7">
        <w:rPr>
          <w:rStyle w:val="label3"/>
          <w:rFonts w:asciiTheme="minorHAnsi" w:hAnsiTheme="minorHAnsi" w:cs="Arial"/>
          <w:specVanish w:val="0"/>
        </w:rPr>
        <w:t>)</w:t>
      </w:r>
    </w:p>
    <w:p w:rsidR="00334DA9" w:rsidRDefault="00334DA9" w:rsidP="00291E89">
      <w:pPr>
        <w:spacing w:line="276" w:lineRule="auto"/>
        <w:rPr>
          <w:rStyle w:val="label3"/>
          <w:rFonts w:asciiTheme="minorHAnsi" w:hAnsiTheme="minorHAnsi" w:cs="Arial"/>
        </w:rPr>
      </w:pPr>
    </w:p>
    <w:p w:rsidR="00334DA9" w:rsidRDefault="00334DA9" w:rsidP="00334DA9">
      <w:pPr>
        <w:spacing w:line="276" w:lineRule="auto"/>
        <w:rPr>
          <w:rStyle w:val="label3"/>
          <w:rFonts w:asciiTheme="minorHAnsi" w:hAnsiTheme="minorHAnsi" w:cs="Arial"/>
          <w:b/>
        </w:rPr>
      </w:pPr>
      <w:r w:rsidRPr="00334DA9">
        <w:rPr>
          <w:rStyle w:val="label3"/>
          <w:rFonts w:asciiTheme="minorHAnsi" w:hAnsiTheme="minorHAnsi" w:cs="Arial"/>
          <w:b/>
          <w:specVanish w:val="0"/>
        </w:rPr>
        <w:t>Beruht die neue Untersuchungs- und Behandlungsmethode vollständig oder in Teilen auf dem Einsatz eines Medizinproduktes?</w:t>
      </w:r>
    </w:p>
    <w:p w:rsidR="00334DA9" w:rsidRDefault="00334DA9" w:rsidP="00334DA9">
      <w:pPr>
        <w:spacing w:line="276" w:lineRule="auto"/>
        <w:rPr>
          <w:rStyle w:val="label3"/>
          <w:rFonts w:asciiTheme="minorHAnsi" w:hAnsiTheme="minorHAnsi" w:cs="Arial"/>
          <w:b/>
        </w:rPr>
      </w:pPr>
    </w:p>
    <w:p w:rsidR="00334DA9" w:rsidRPr="00334DA9" w:rsidRDefault="00334DA9" w:rsidP="006B42DB">
      <w:pPr>
        <w:spacing w:line="276" w:lineRule="auto"/>
        <w:outlineLvl w:val="0"/>
        <w:rPr>
          <w:rStyle w:val="label3"/>
          <w:rFonts w:asciiTheme="minorHAnsi" w:hAnsiTheme="minorHAnsi" w:cs="Arial"/>
        </w:rPr>
      </w:pPr>
      <w:r w:rsidRPr="00334DA9">
        <w:rPr>
          <w:rStyle w:val="label3"/>
          <w:rFonts w:asciiTheme="minorHAnsi" w:hAnsiTheme="minorHAnsi" w:cs="Arial"/>
          <w:highlight w:val="yellow"/>
          <w:specVanish w:val="0"/>
        </w:rPr>
        <w:t>Bitte nein ankreuzen</w:t>
      </w:r>
    </w:p>
    <w:p w:rsidR="00291E89" w:rsidRDefault="00291E89" w:rsidP="00291E89">
      <w:pPr>
        <w:spacing w:line="276" w:lineRule="auto"/>
        <w:rPr>
          <w:rFonts w:asciiTheme="minorHAnsi" w:hAnsiTheme="minorHAnsi" w:cs="Arial"/>
        </w:rPr>
      </w:pPr>
    </w:p>
    <w:p w:rsidR="00383CBF" w:rsidRPr="00291E89" w:rsidRDefault="00383CBF" w:rsidP="00383CBF">
      <w:pPr>
        <w:spacing w:line="276" w:lineRule="auto"/>
        <w:rPr>
          <w:rFonts w:asciiTheme="minorHAnsi" w:hAnsiTheme="minorHAnsi" w:cs="Arial"/>
          <w:b/>
        </w:rPr>
      </w:pPr>
      <w:r w:rsidRPr="00291E89">
        <w:rPr>
          <w:rFonts w:asciiTheme="minorHAnsi" w:hAnsiTheme="minorHAnsi" w:cs="Arial"/>
          <w:b/>
        </w:rPr>
        <w:t>Wurde für diese angefragte Untersuchungs- und Behandlungsmethode von Ihrem Krankenhaus berei</w:t>
      </w:r>
      <w:r w:rsidR="001F339A" w:rsidRPr="00291E89">
        <w:rPr>
          <w:rFonts w:asciiTheme="minorHAnsi" w:hAnsiTheme="minorHAnsi" w:cs="Arial"/>
          <w:b/>
        </w:rPr>
        <w:t>ts vor dem 01.01</w:t>
      </w:r>
      <w:r w:rsidR="00504BDE">
        <w:rPr>
          <w:rFonts w:asciiTheme="minorHAnsi" w:hAnsiTheme="minorHAnsi" w:cs="Arial"/>
          <w:b/>
        </w:rPr>
        <w:t>.2018</w:t>
      </w:r>
      <w:r w:rsidRPr="00291E89">
        <w:rPr>
          <w:rFonts w:asciiTheme="minorHAnsi" w:hAnsiTheme="minorHAnsi" w:cs="Arial"/>
          <w:b/>
        </w:rPr>
        <w:t xml:space="preserve"> eine Anfrage gemäß §6 Abs. 2 KHEnt</w:t>
      </w:r>
      <w:r w:rsidR="006A16F0" w:rsidRPr="00291E89">
        <w:rPr>
          <w:rFonts w:asciiTheme="minorHAnsi" w:hAnsiTheme="minorHAnsi" w:cs="Arial"/>
          <w:b/>
        </w:rPr>
        <w:t>g</w:t>
      </w:r>
      <w:r w:rsidRPr="00291E89">
        <w:rPr>
          <w:rFonts w:asciiTheme="minorHAnsi" w:hAnsiTheme="minorHAnsi" w:cs="Arial"/>
          <w:b/>
        </w:rPr>
        <w:t>G an</w:t>
      </w:r>
    </w:p>
    <w:p w:rsidR="00291E89" w:rsidRDefault="00383CBF" w:rsidP="00383CBF">
      <w:pPr>
        <w:spacing w:line="276" w:lineRule="auto"/>
        <w:rPr>
          <w:rFonts w:asciiTheme="minorHAnsi" w:hAnsiTheme="minorHAnsi" w:cs="Arial"/>
        </w:rPr>
      </w:pPr>
      <w:r w:rsidRPr="00291E89">
        <w:rPr>
          <w:rFonts w:asciiTheme="minorHAnsi" w:hAnsiTheme="minorHAnsi" w:cs="Arial"/>
          <w:b/>
        </w:rPr>
        <w:t xml:space="preserve">das </w:t>
      </w:r>
      <w:proofErr w:type="spellStart"/>
      <w:r w:rsidRPr="00291E89">
        <w:rPr>
          <w:rFonts w:asciiTheme="minorHAnsi" w:hAnsiTheme="minorHAnsi" w:cs="Arial"/>
          <w:b/>
        </w:rPr>
        <w:t>lnEK</w:t>
      </w:r>
      <w:proofErr w:type="spellEnd"/>
      <w:r w:rsidRPr="00291E89">
        <w:rPr>
          <w:rFonts w:asciiTheme="minorHAnsi" w:hAnsiTheme="minorHAnsi" w:cs="Arial"/>
          <w:b/>
        </w:rPr>
        <w:t xml:space="preserve"> übermittelt?</w:t>
      </w:r>
      <w:r>
        <w:rPr>
          <w:rFonts w:asciiTheme="minorHAnsi" w:hAnsiTheme="minorHAnsi" w:cs="Arial"/>
        </w:rPr>
        <w:t xml:space="preserve"> –</w:t>
      </w:r>
    </w:p>
    <w:p w:rsidR="00291E89" w:rsidRDefault="00291E89" w:rsidP="00383CBF">
      <w:pPr>
        <w:spacing w:line="276" w:lineRule="auto"/>
        <w:rPr>
          <w:rFonts w:asciiTheme="minorHAnsi" w:hAnsiTheme="minorHAnsi" w:cs="Arial"/>
          <w:highlight w:val="yellow"/>
        </w:rPr>
      </w:pPr>
    </w:p>
    <w:p w:rsidR="00383CBF" w:rsidRDefault="00504BDE" w:rsidP="006B42DB">
      <w:pPr>
        <w:spacing w:line="276" w:lineRule="auto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ja/</w:t>
      </w:r>
      <w:r w:rsidR="00291E89">
        <w:rPr>
          <w:rFonts w:asciiTheme="minorHAnsi" w:hAnsiTheme="minorHAnsi" w:cs="Arial"/>
          <w:highlight w:val="yellow"/>
        </w:rPr>
        <w:t>nein ankreuzen</w:t>
      </w:r>
      <w:r w:rsidR="00383CBF">
        <w:rPr>
          <w:rFonts w:asciiTheme="minorHAnsi" w:hAnsiTheme="minorHAnsi" w:cs="Arial"/>
        </w:rPr>
        <w:t xml:space="preserve"> </w:t>
      </w:r>
    </w:p>
    <w:p w:rsidR="00383CBF" w:rsidRPr="000508A7" w:rsidRDefault="00383CBF" w:rsidP="00383CBF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Beschreibung der neuen Methode</w:t>
      </w:r>
    </w:p>
    <w:p w:rsidR="00A447F5" w:rsidRPr="00A447F5" w:rsidRDefault="008052DE" w:rsidP="00A447F5">
      <w:pPr>
        <w:pStyle w:val="TextkrperDossier"/>
        <w:spacing w:line="276" w:lineRule="auto"/>
        <w:rPr>
          <w:rFonts w:asciiTheme="minorHAnsi" w:hAnsiTheme="minorHAnsi" w:cs="Calibri"/>
        </w:rPr>
      </w:pPr>
      <w:r>
        <w:rPr>
          <w:rStyle w:val="label3"/>
          <w:rFonts w:asciiTheme="minorHAnsi" w:hAnsiTheme="minorHAnsi" w:cs="Arial"/>
          <w:specVanish w:val="0"/>
        </w:rPr>
        <w:t>LYMPHOSEEK</w:t>
      </w:r>
      <w:r w:rsidR="00A447F5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A447F5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A447F5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A447F5">
        <w:rPr>
          <w:rFonts w:asciiTheme="minorHAnsi" w:hAnsiTheme="minorHAnsi" w:cs="Arial"/>
        </w:rPr>
        <w:t>T</w:t>
      </w:r>
      <w:r w:rsidR="00A447F5" w:rsidRPr="000508A7">
        <w:rPr>
          <w:rFonts w:asciiTheme="minorHAnsi" w:hAnsiTheme="minorHAnsi" w:cs="Arial"/>
        </w:rPr>
        <w:t>ilmanocept</w:t>
      </w:r>
      <w:proofErr w:type="spellEnd"/>
      <w:r w:rsidR="00A447F5" w:rsidRPr="006178AE">
        <w:rPr>
          <w:rFonts w:asciiTheme="minorHAnsi" w:hAnsiTheme="minorHAnsi" w:cs="Arial"/>
        </w:rPr>
        <w:t>)</w:t>
      </w:r>
      <w:r w:rsidR="00A447F5" w:rsidRPr="00A447F5">
        <w:rPr>
          <w:rFonts w:asciiTheme="minorHAnsi" w:hAnsiTheme="minorHAnsi" w:cs="Calibri"/>
          <w:bCs/>
        </w:rPr>
        <w:t xml:space="preserve"> </w:t>
      </w:r>
      <w:r w:rsidR="00A447F5">
        <w:rPr>
          <w:rFonts w:asciiTheme="minorHAnsi" w:hAnsiTheme="minorHAnsi" w:cs="Calibri"/>
          <w:bCs/>
        </w:rPr>
        <w:t xml:space="preserve">ist ein </w:t>
      </w:r>
      <w:r w:rsidR="00A447F5" w:rsidRPr="00A447F5">
        <w:rPr>
          <w:rFonts w:asciiTheme="minorHAnsi" w:hAnsiTheme="minorHAnsi" w:cs="Calibri"/>
          <w:bCs/>
        </w:rPr>
        <w:t>innovative</w:t>
      </w:r>
      <w:r w:rsidR="007A00A7">
        <w:rPr>
          <w:rFonts w:asciiTheme="minorHAnsi" w:hAnsiTheme="minorHAnsi" w:cs="Calibri"/>
          <w:bCs/>
        </w:rPr>
        <w:t>r</w:t>
      </w:r>
      <w:r w:rsidR="00A447F5" w:rsidRPr="00A447F5">
        <w:rPr>
          <w:rFonts w:asciiTheme="minorHAnsi" w:hAnsiTheme="minorHAnsi" w:cs="Calibri"/>
          <w:bCs/>
        </w:rPr>
        <w:t xml:space="preserve"> Radiotracer</w:t>
      </w:r>
      <w:r w:rsidR="00A447F5">
        <w:rPr>
          <w:rFonts w:asciiTheme="minorHAnsi" w:hAnsiTheme="minorHAnsi" w:cs="Calibri"/>
          <w:bCs/>
        </w:rPr>
        <w:t>,</w:t>
      </w:r>
      <w:r w:rsidR="009339CC">
        <w:rPr>
          <w:rFonts w:asciiTheme="minorHAnsi" w:hAnsiTheme="minorHAnsi" w:cs="Calibri"/>
          <w:bCs/>
        </w:rPr>
        <w:t xml:space="preserve"> </w:t>
      </w:r>
      <w:r w:rsidR="00A447F5">
        <w:rPr>
          <w:rFonts w:asciiTheme="minorHAnsi" w:hAnsiTheme="minorHAnsi" w:cs="Calibri"/>
          <w:bCs/>
        </w:rPr>
        <w:t>welcher</w:t>
      </w:r>
      <w:r w:rsidR="00A447F5" w:rsidRPr="00A447F5">
        <w:rPr>
          <w:rFonts w:asciiTheme="minorHAnsi" w:hAnsiTheme="minorHAnsi" w:cs="Calibri"/>
          <w:bCs/>
        </w:rPr>
        <w:t xml:space="preserve"> spezifisch und zielgerichtet an Rezeptoren</w:t>
      </w:r>
      <w:r w:rsidR="00A447F5">
        <w:rPr>
          <w:rFonts w:asciiTheme="minorHAnsi" w:hAnsiTheme="minorHAnsi" w:cs="Calibri"/>
          <w:bCs/>
        </w:rPr>
        <w:t xml:space="preserve"> gebunden wird</w:t>
      </w:r>
      <w:r w:rsidR="00A447F5" w:rsidRPr="00A447F5">
        <w:rPr>
          <w:rFonts w:asciiTheme="minorHAnsi" w:hAnsiTheme="minorHAnsi" w:cs="Calibri"/>
          <w:bCs/>
        </w:rPr>
        <w:t xml:space="preserve">, die in Wächterlymphknoten in hoher Zahl vorliegen. Dadurch erreicht </w:t>
      </w:r>
      <w:r w:rsidR="00A447F5">
        <w:rPr>
          <w:rFonts w:asciiTheme="minorHAnsi" w:hAnsiTheme="minorHAnsi" w:cs="Calibri"/>
          <w:bCs/>
        </w:rPr>
        <w:t>die Diagnostik mit dem spezifischen</w:t>
      </w:r>
      <w:r w:rsidR="00A447F5" w:rsidRPr="00A447F5">
        <w:rPr>
          <w:rFonts w:asciiTheme="minorHAnsi" w:hAnsiTheme="minorHAnsi" w:cs="Calibri"/>
          <w:bCs/>
        </w:rPr>
        <w:t xml:space="preserve"> Produkt eine </w:t>
      </w:r>
      <w:r w:rsidR="00DD0120">
        <w:rPr>
          <w:rFonts w:asciiTheme="minorHAnsi" w:hAnsiTheme="minorHAnsi" w:cs="Calibri"/>
          <w:bCs/>
        </w:rPr>
        <w:t>deutlich höhere</w:t>
      </w:r>
      <w:r w:rsidR="00A447F5">
        <w:rPr>
          <w:rFonts w:asciiTheme="minorHAnsi" w:hAnsiTheme="minorHAnsi" w:cs="Calibri"/>
          <w:bCs/>
        </w:rPr>
        <w:t xml:space="preserve"> </w:t>
      </w:r>
      <w:r w:rsidR="00A447F5" w:rsidRPr="00A447F5">
        <w:rPr>
          <w:rFonts w:asciiTheme="minorHAnsi" w:hAnsiTheme="minorHAnsi" w:cs="Calibri"/>
          <w:bCs/>
        </w:rPr>
        <w:t xml:space="preserve">Zuverlässigkeit und Präzision in der Wächterlymphknoten-Detektion bei Patienten mit </w:t>
      </w:r>
      <w:r w:rsidR="00A447F5" w:rsidRPr="00A447F5">
        <w:rPr>
          <w:rFonts w:asciiTheme="minorHAnsi" w:hAnsiTheme="minorHAnsi" w:cs="Calibri"/>
          <w:bCs/>
        </w:rPr>
        <w:lastRenderedPageBreak/>
        <w:t>Plattenepithelkarzinom der Mundhöhle, Mammakarzinom und malignem Melanom</w:t>
      </w:r>
      <w:r w:rsidR="006B42DB">
        <w:rPr>
          <w:rFonts w:asciiTheme="minorHAnsi" w:hAnsiTheme="minorHAnsi" w:cs="Calibri"/>
          <w:bCs/>
        </w:rPr>
        <w:t>.</w:t>
      </w:r>
      <w:r w:rsidR="00A447F5" w:rsidRPr="00A447F5">
        <w:rPr>
          <w:rFonts w:asciiTheme="minorHAnsi" w:hAnsiTheme="minorHAnsi" w:cs="Calibri"/>
          <w:bCs/>
        </w:rPr>
        <w:t xml:space="preserve"> </w:t>
      </w:r>
      <w:r w:rsidR="007A00A7">
        <w:rPr>
          <w:rFonts w:asciiTheme="minorHAnsi" w:hAnsiTheme="minorHAnsi" w:cs="Calibri"/>
          <w:bCs/>
        </w:rPr>
        <w:t>Diese</w:t>
      </w:r>
      <w:r w:rsidR="003C1035">
        <w:rPr>
          <w:rFonts w:asciiTheme="minorHAnsi" w:hAnsiTheme="minorHAnsi" w:cs="Calibri"/>
          <w:bCs/>
        </w:rPr>
        <w:t xml:space="preserve">s </w:t>
      </w:r>
      <w:r w:rsidR="00A447F5" w:rsidRPr="00A447F5">
        <w:rPr>
          <w:rFonts w:asciiTheme="minorHAnsi" w:hAnsiTheme="minorHAnsi" w:cs="Calibri"/>
          <w:bCs/>
        </w:rPr>
        <w:t xml:space="preserve">Radiopharmazeutikum der „nächsten Generation“ bietet </w:t>
      </w:r>
      <w:r w:rsidR="003C1035">
        <w:rPr>
          <w:rFonts w:asciiTheme="minorHAnsi" w:hAnsiTheme="minorHAnsi" w:cs="Calibri"/>
          <w:bCs/>
        </w:rPr>
        <w:t xml:space="preserve">gegenüber </w:t>
      </w:r>
      <w:r w:rsidR="00DD0120">
        <w:rPr>
          <w:rFonts w:asciiTheme="minorHAnsi" w:hAnsiTheme="minorHAnsi" w:cs="Calibri"/>
          <w:bCs/>
        </w:rPr>
        <w:t>vergleichbaren Methoden</w:t>
      </w:r>
      <w:r w:rsidR="00DD0120" w:rsidRPr="00A447F5">
        <w:rPr>
          <w:rFonts w:asciiTheme="minorHAnsi" w:hAnsiTheme="minorHAnsi" w:cs="Calibri"/>
          <w:bCs/>
        </w:rPr>
        <w:t xml:space="preserve"> </w:t>
      </w:r>
      <w:r w:rsidR="00A447F5" w:rsidRPr="00A447F5">
        <w:rPr>
          <w:rFonts w:asciiTheme="minorHAnsi" w:hAnsiTheme="minorHAnsi" w:cs="Calibri"/>
          <w:bCs/>
        </w:rPr>
        <w:t xml:space="preserve">besondere Vorteile für den Einsatz bei Sentinel-Lymphknotenbiopsien (SLNB, Sentinel </w:t>
      </w:r>
      <w:proofErr w:type="spellStart"/>
      <w:r w:rsidR="00A447F5" w:rsidRPr="00A447F5">
        <w:rPr>
          <w:rFonts w:asciiTheme="minorHAnsi" w:hAnsiTheme="minorHAnsi" w:cs="Calibri"/>
          <w:bCs/>
        </w:rPr>
        <w:t>Lymph</w:t>
      </w:r>
      <w:proofErr w:type="spellEnd"/>
      <w:r w:rsidR="00A447F5" w:rsidRPr="00A447F5">
        <w:rPr>
          <w:rFonts w:asciiTheme="minorHAnsi" w:hAnsiTheme="minorHAnsi" w:cs="Calibri"/>
          <w:bCs/>
        </w:rPr>
        <w:t xml:space="preserve"> </w:t>
      </w:r>
      <w:proofErr w:type="spellStart"/>
      <w:r w:rsidR="00A447F5" w:rsidRPr="00A447F5">
        <w:rPr>
          <w:rFonts w:asciiTheme="minorHAnsi" w:hAnsiTheme="minorHAnsi" w:cs="Calibri"/>
          <w:bCs/>
        </w:rPr>
        <w:t>Node</w:t>
      </w:r>
      <w:proofErr w:type="spellEnd"/>
      <w:r w:rsidR="00A447F5" w:rsidRPr="00A447F5">
        <w:rPr>
          <w:rFonts w:asciiTheme="minorHAnsi" w:hAnsiTheme="minorHAnsi" w:cs="Calibri"/>
          <w:bCs/>
        </w:rPr>
        <w:t xml:space="preserve"> </w:t>
      </w:r>
      <w:proofErr w:type="spellStart"/>
      <w:r w:rsidR="00A447F5" w:rsidRPr="00A447F5">
        <w:rPr>
          <w:rFonts w:asciiTheme="minorHAnsi" w:hAnsiTheme="minorHAnsi" w:cs="Calibri"/>
          <w:bCs/>
        </w:rPr>
        <w:t>Biopsy</w:t>
      </w:r>
      <w:proofErr w:type="spellEnd"/>
      <w:r w:rsidR="00A447F5" w:rsidRPr="00A447F5">
        <w:rPr>
          <w:rFonts w:asciiTheme="minorHAnsi" w:hAnsiTheme="minorHAnsi" w:cs="Calibri"/>
          <w:bCs/>
        </w:rPr>
        <w:t>)</w:t>
      </w:r>
      <w:r w:rsidR="00042E06">
        <w:rPr>
          <w:rFonts w:asciiTheme="minorHAnsi" w:hAnsiTheme="minorHAnsi" w:cs="Calibri"/>
          <w:bCs/>
        </w:rPr>
        <w:t>.</w:t>
      </w:r>
    </w:p>
    <w:p w:rsidR="00042E06" w:rsidRDefault="008052DE" w:rsidP="000F3736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  <w:bCs/>
        </w:rPr>
        <w:t>LYMPHOSEEK</w:t>
      </w:r>
      <w:r w:rsidR="006B42DB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6B42DB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 xml:space="preserve">ist das einzige </w:t>
      </w:r>
      <w:r w:rsidR="006B42DB">
        <w:rPr>
          <w:rFonts w:asciiTheme="minorHAnsi" w:hAnsiTheme="minorHAnsi" w:cs="Calibri"/>
        </w:rPr>
        <w:t xml:space="preserve">zugelassene 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>Radiopharmazeutikum, das gezielt innerhal</w:t>
      </w:r>
      <w:r w:rsidR="006B42DB">
        <w:rPr>
          <w:rFonts w:asciiTheme="minorHAnsi" w:hAnsiTheme="minorHAnsi" w:cs="Calibri"/>
        </w:rPr>
        <w:t>b der Wächterlymphknoten bindet (</w:t>
      </w:r>
      <w:r w:rsidR="00042E06" w:rsidRPr="00DA0FBA">
        <w:rPr>
          <w:rFonts w:asciiTheme="minorHAnsi" w:hAnsiTheme="minorHAnsi" w:cs="Calibri"/>
          <w:bCs/>
        </w:rPr>
        <w:t xml:space="preserve">Fachinformation zu </w:t>
      </w:r>
      <w:r>
        <w:rPr>
          <w:rFonts w:asciiTheme="minorHAnsi" w:hAnsiTheme="minorHAnsi" w:cs="Calibri"/>
          <w:bCs/>
        </w:rPr>
        <w:t>LYMPHOSEEK</w:t>
      </w:r>
      <w:r w:rsidR="00042E06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042E06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042E06">
        <w:rPr>
          <w:rFonts w:asciiTheme="minorHAnsi" w:hAnsiTheme="minorHAnsi" w:cs="Calibri"/>
          <w:bCs/>
        </w:rPr>
        <w:t xml:space="preserve">Stand: September 2017, </w:t>
      </w:r>
      <w:proofErr w:type="spellStart"/>
      <w:r w:rsidR="00136A67" w:rsidRPr="00DA0FBA">
        <w:rPr>
          <w:rFonts w:asciiTheme="minorHAnsi" w:hAnsiTheme="minorHAnsi" w:cs="Calibri"/>
          <w:bCs/>
        </w:rPr>
        <w:t>Agrawal</w:t>
      </w:r>
      <w:proofErr w:type="spellEnd"/>
      <w:r w:rsidR="00136A67" w:rsidRPr="00DA0FBA">
        <w:rPr>
          <w:rFonts w:asciiTheme="minorHAnsi" w:hAnsiTheme="minorHAnsi" w:cs="Calibri"/>
          <w:bCs/>
        </w:rPr>
        <w:t xml:space="preserve"> </w:t>
      </w:r>
      <w:r w:rsidR="00136A67">
        <w:rPr>
          <w:rFonts w:asciiTheme="minorHAnsi" w:hAnsiTheme="minorHAnsi" w:cs="Calibri"/>
          <w:bCs/>
        </w:rPr>
        <w:t xml:space="preserve">2015, </w:t>
      </w:r>
      <w:r w:rsidR="00136A67">
        <w:rPr>
          <w:rFonts w:asciiTheme="minorHAnsi" w:hAnsiTheme="minorHAnsi" w:cs="Calibri"/>
        </w:rPr>
        <w:t xml:space="preserve">Azad 2015, </w:t>
      </w:r>
      <w:r w:rsidR="006B42DB">
        <w:rPr>
          <w:rFonts w:asciiTheme="minorHAnsi" w:hAnsiTheme="minorHAnsi" w:cs="Calibri"/>
          <w:bCs/>
        </w:rPr>
        <w:t xml:space="preserve">Vera </w:t>
      </w:r>
      <w:r w:rsidR="006B42DB" w:rsidRPr="00A447F5">
        <w:rPr>
          <w:rFonts w:asciiTheme="minorHAnsi" w:hAnsiTheme="minorHAnsi" w:cs="Calibri"/>
          <w:bCs/>
        </w:rPr>
        <w:t>2001</w:t>
      </w:r>
      <w:r w:rsidR="006B42DB">
        <w:rPr>
          <w:rFonts w:asciiTheme="minorHAnsi" w:hAnsiTheme="minorHAnsi" w:cs="Calibri"/>
        </w:rPr>
        <w:t>).</w:t>
      </w:r>
      <w:r w:rsidR="006B42DB">
        <w:rPr>
          <w:rFonts w:asciiTheme="minorHAnsi" w:hAnsiTheme="minorHAnsi" w:cs="Calibri"/>
          <w:vertAlign w:val="superscript"/>
        </w:rPr>
        <w:t xml:space="preserve">. 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>Diese Eigenschaft verleiht</w:t>
      </w:r>
      <w:r w:rsidR="006B42DB">
        <w:rPr>
          <w:rFonts w:asciiTheme="minorHAnsi" w:hAnsiTheme="minorHAnsi" w:cs="Calibri"/>
        </w:rPr>
        <w:t xml:space="preserve"> ihm ein hohes Maß an Präzision: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 xml:space="preserve"> Im Vergleich zu Vitalblau-Farbstoff weist es eine signifikant höhere Identifikationsrate auf. In klinischen Phase 3 Studien wurden Wächterlymphknoten bei 98,6 % der Patienten mit Mammakarzinom</w:t>
      </w:r>
      <w:r w:rsidR="00413776">
        <w:rPr>
          <w:rFonts w:asciiTheme="minorHAnsi" w:hAnsiTheme="minorHAnsi" w:cs="Calibri"/>
          <w:color w:val="000000"/>
          <w:lang w:eastAsia="en-US"/>
        </w:rPr>
        <w:t xml:space="preserve"> - </w:t>
      </w:r>
      <w:proofErr w:type="spellStart"/>
      <w:r w:rsidR="00413776" w:rsidRPr="00A72628">
        <w:rPr>
          <w:rFonts w:asciiTheme="minorHAnsi" w:hAnsiTheme="minorHAnsi" w:cs="Arial"/>
        </w:rPr>
        <w:t>Tis</w:t>
      </w:r>
      <w:proofErr w:type="spellEnd"/>
      <w:r w:rsidR="00413776" w:rsidRPr="00A72628">
        <w:rPr>
          <w:rFonts w:asciiTheme="minorHAnsi" w:hAnsiTheme="minorHAnsi" w:cs="Arial"/>
        </w:rPr>
        <w:t xml:space="preserve">, </w:t>
      </w:r>
      <w:proofErr w:type="spellStart"/>
      <w:r w:rsidR="00413776" w:rsidRPr="00A72628">
        <w:rPr>
          <w:rFonts w:asciiTheme="minorHAnsi" w:hAnsiTheme="minorHAnsi" w:cs="Arial"/>
        </w:rPr>
        <w:t>Tx</w:t>
      </w:r>
      <w:proofErr w:type="spellEnd"/>
      <w:r w:rsidR="00413776" w:rsidRPr="00A72628">
        <w:rPr>
          <w:rFonts w:asciiTheme="minorHAnsi" w:hAnsiTheme="minorHAnsi" w:cs="Arial"/>
        </w:rPr>
        <w:t xml:space="preserve"> oder T1-T4cN0-Brustkrebs</w:t>
      </w:r>
      <w:r w:rsidR="00413776">
        <w:rPr>
          <w:rFonts w:asciiTheme="minorHAnsi" w:hAnsiTheme="minorHAnsi" w:cs="Arial"/>
        </w:rPr>
        <w:t xml:space="preserve"> - </w:t>
      </w:r>
      <w:r w:rsidR="006B42DB">
        <w:rPr>
          <w:rFonts w:asciiTheme="minorHAnsi" w:hAnsiTheme="minorHAnsi" w:cs="Calibri"/>
        </w:rPr>
        <w:t>(</w:t>
      </w:r>
      <w:r w:rsidR="006B42DB" w:rsidRPr="006B42DB">
        <w:rPr>
          <w:rFonts w:asciiTheme="minorHAnsi" w:hAnsiTheme="minorHAnsi" w:cs="Calibri"/>
        </w:rPr>
        <w:t>Wallace</w:t>
      </w:r>
      <w:r w:rsidR="006B42DB">
        <w:rPr>
          <w:rFonts w:asciiTheme="minorHAnsi" w:hAnsiTheme="minorHAnsi" w:cs="Calibri"/>
        </w:rPr>
        <w:t xml:space="preserve"> 2013)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 xml:space="preserve"> und 97,4% der Patienten mit </w:t>
      </w:r>
      <w:r w:rsidR="00042E06" w:rsidRPr="00A72628">
        <w:rPr>
          <w:rFonts w:asciiTheme="minorHAnsi" w:hAnsiTheme="minorHAnsi" w:cs="Arial"/>
        </w:rPr>
        <w:t>T1-T4cN0</w:t>
      </w:r>
      <w:r w:rsidR="00042E06">
        <w:rPr>
          <w:rFonts w:asciiTheme="minorHAnsi" w:hAnsiTheme="minorHAnsi" w:cs="Arial"/>
        </w:rPr>
        <w:t>-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>Melanom</w:t>
      </w:r>
      <w:r w:rsidR="00042E06">
        <w:rPr>
          <w:rFonts w:asciiTheme="minorHAnsi" w:hAnsiTheme="minorHAnsi" w:cs="Calibri"/>
        </w:rPr>
        <w:t xml:space="preserve"> </w:t>
      </w:r>
      <w:r w:rsidR="006B42DB">
        <w:rPr>
          <w:rFonts w:asciiTheme="minorHAnsi" w:hAnsiTheme="minorHAnsi" w:cs="Calibri"/>
        </w:rPr>
        <w:t>(</w:t>
      </w:r>
      <w:proofErr w:type="spellStart"/>
      <w:r w:rsidR="006B42DB">
        <w:rPr>
          <w:rFonts w:asciiTheme="minorHAnsi" w:hAnsiTheme="minorHAnsi" w:cs="Calibri"/>
        </w:rPr>
        <w:t>Sondak</w:t>
      </w:r>
      <w:proofErr w:type="spellEnd"/>
      <w:r w:rsidR="006B42DB">
        <w:rPr>
          <w:rFonts w:asciiTheme="minorHAnsi" w:hAnsiTheme="minorHAnsi" w:cs="Calibri"/>
        </w:rPr>
        <w:t xml:space="preserve"> 2013)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 xml:space="preserve"> identifiziert. Die Falsch-Negativ-Rate bei Plattenepithelkarzinomen im Mundraum </w:t>
      </w:r>
      <w:r w:rsidR="00954CC6">
        <w:rPr>
          <w:rFonts w:asciiTheme="minorHAnsi" w:hAnsiTheme="minorHAnsi" w:cs="Calibri"/>
          <w:color w:val="000000"/>
          <w:lang w:eastAsia="en-US"/>
        </w:rPr>
        <w:t>(</w:t>
      </w:r>
      <w:r w:rsidR="00954CC6" w:rsidRPr="00A72628">
        <w:rPr>
          <w:rFonts w:asciiTheme="minorHAnsi" w:hAnsiTheme="minorHAnsi" w:cs="Arial"/>
        </w:rPr>
        <w:t>in T1-T4cN0 Plattenepithelkarzinom</w:t>
      </w:r>
      <w:r w:rsidR="00954CC6">
        <w:rPr>
          <w:rFonts w:asciiTheme="minorHAnsi" w:hAnsiTheme="minorHAnsi" w:cs="Arial"/>
        </w:rPr>
        <w:t xml:space="preserve">en - </w:t>
      </w:r>
      <w:r w:rsidR="00954CC6" w:rsidRPr="00A72628">
        <w:rPr>
          <w:rFonts w:asciiTheme="minorHAnsi" w:hAnsiTheme="minorHAnsi" w:cs="Arial"/>
        </w:rPr>
        <w:t xml:space="preserve">OSCC, Oral </w:t>
      </w:r>
      <w:proofErr w:type="spellStart"/>
      <w:r w:rsidR="00954CC6" w:rsidRPr="00A72628">
        <w:rPr>
          <w:rFonts w:asciiTheme="minorHAnsi" w:hAnsiTheme="minorHAnsi" w:cs="Arial"/>
        </w:rPr>
        <w:t>Squamous</w:t>
      </w:r>
      <w:proofErr w:type="spellEnd"/>
      <w:r w:rsidR="00954CC6" w:rsidRPr="00A72628">
        <w:rPr>
          <w:rFonts w:asciiTheme="minorHAnsi" w:hAnsiTheme="minorHAnsi" w:cs="Arial"/>
        </w:rPr>
        <w:t xml:space="preserve"> </w:t>
      </w:r>
      <w:proofErr w:type="spellStart"/>
      <w:r w:rsidR="00954CC6" w:rsidRPr="00A72628">
        <w:rPr>
          <w:rFonts w:asciiTheme="minorHAnsi" w:hAnsiTheme="minorHAnsi" w:cs="Arial"/>
        </w:rPr>
        <w:t>Cell</w:t>
      </w:r>
      <w:proofErr w:type="spellEnd"/>
      <w:r w:rsidR="00954CC6" w:rsidRPr="00A72628">
        <w:rPr>
          <w:rFonts w:asciiTheme="minorHAnsi" w:hAnsiTheme="minorHAnsi" w:cs="Arial"/>
        </w:rPr>
        <w:t xml:space="preserve"> </w:t>
      </w:r>
      <w:proofErr w:type="spellStart"/>
      <w:r w:rsidR="00954CC6" w:rsidRPr="00A72628">
        <w:rPr>
          <w:rFonts w:asciiTheme="minorHAnsi" w:hAnsiTheme="minorHAnsi" w:cs="Arial"/>
        </w:rPr>
        <w:t>Carcinoma</w:t>
      </w:r>
      <w:proofErr w:type="spellEnd"/>
      <w:r w:rsidR="00954CC6" w:rsidRPr="00A72628">
        <w:rPr>
          <w:rFonts w:asciiTheme="minorHAnsi" w:hAnsiTheme="minorHAnsi" w:cs="Arial"/>
        </w:rPr>
        <w:t xml:space="preserve">) 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>liegt bei nur 2,6 %</w:t>
      </w:r>
      <w:r w:rsidR="006B42DB">
        <w:rPr>
          <w:rFonts w:asciiTheme="minorHAnsi" w:hAnsiTheme="minorHAnsi" w:cs="Calibri"/>
        </w:rPr>
        <w:t xml:space="preserve"> (</w:t>
      </w:r>
      <w:proofErr w:type="spellStart"/>
      <w:r w:rsidR="006B42DB" w:rsidRPr="00DA0FBA">
        <w:rPr>
          <w:rFonts w:asciiTheme="minorHAnsi" w:hAnsiTheme="minorHAnsi" w:cs="Calibri"/>
          <w:bCs/>
        </w:rPr>
        <w:t>Agrawal</w:t>
      </w:r>
      <w:proofErr w:type="spellEnd"/>
      <w:r w:rsidR="006B42DB" w:rsidRPr="00DA0FBA">
        <w:rPr>
          <w:rFonts w:asciiTheme="minorHAnsi" w:hAnsiTheme="minorHAnsi" w:cs="Calibri"/>
          <w:bCs/>
        </w:rPr>
        <w:t xml:space="preserve"> </w:t>
      </w:r>
      <w:r w:rsidR="006B42DB">
        <w:rPr>
          <w:rFonts w:asciiTheme="minorHAnsi" w:hAnsiTheme="minorHAnsi" w:cs="Calibri"/>
          <w:bCs/>
        </w:rPr>
        <w:t>2015)</w:t>
      </w:r>
      <w:r w:rsidR="006B42DB" w:rsidRPr="006B42DB">
        <w:rPr>
          <w:rFonts w:asciiTheme="minorHAnsi" w:hAnsiTheme="minorHAnsi" w:cs="Calibri"/>
          <w:color w:val="000000"/>
          <w:lang w:eastAsia="en-US"/>
        </w:rPr>
        <w:t>.</w:t>
      </w:r>
      <w:r w:rsidR="000F3736" w:rsidRPr="000F3736">
        <w:rPr>
          <w:rFonts w:asciiTheme="minorHAnsi" w:hAnsiTheme="minorHAnsi" w:cs="Arial"/>
        </w:rPr>
        <w:t xml:space="preserve"> </w:t>
      </w:r>
    </w:p>
    <w:p w:rsidR="00042E06" w:rsidRDefault="00042E06" w:rsidP="000F3736">
      <w:pPr>
        <w:spacing w:line="276" w:lineRule="auto"/>
        <w:jc w:val="both"/>
        <w:rPr>
          <w:rFonts w:asciiTheme="minorHAnsi" w:hAnsiTheme="minorHAnsi" w:cs="Arial"/>
        </w:rPr>
      </w:pPr>
    </w:p>
    <w:p w:rsidR="000F3736" w:rsidRPr="00A72628" w:rsidRDefault="000F3736" w:rsidP="000F3736">
      <w:pPr>
        <w:spacing w:line="276" w:lineRule="auto"/>
        <w:jc w:val="both"/>
        <w:rPr>
          <w:rFonts w:asciiTheme="minorHAnsi" w:hAnsiTheme="minorHAnsi" w:cs="Arial"/>
        </w:rPr>
      </w:pPr>
      <w:r w:rsidRPr="00A72628">
        <w:rPr>
          <w:rFonts w:asciiTheme="minorHAnsi" w:hAnsiTheme="minorHAnsi" w:cs="Arial"/>
        </w:rPr>
        <w:t>Derzeit erhalten bis zu 70-80 % der Patienten mit Mundkrebs im Frühstadium eine elektive Neck-</w:t>
      </w:r>
      <w:proofErr w:type="spellStart"/>
      <w:r w:rsidRPr="00A72628">
        <w:rPr>
          <w:rFonts w:asciiTheme="minorHAnsi" w:hAnsiTheme="minorHAnsi" w:cs="Arial"/>
        </w:rPr>
        <w:t>Dissection</w:t>
      </w:r>
      <w:proofErr w:type="spellEnd"/>
      <w:r w:rsidRPr="00A72628">
        <w:rPr>
          <w:rFonts w:asciiTheme="minorHAnsi" w:hAnsiTheme="minorHAnsi" w:cs="Arial"/>
        </w:rPr>
        <w:t>, eine große Operation, die durch die Nutzung der</w:t>
      </w:r>
      <w:r w:rsidR="00413776">
        <w:rPr>
          <w:rFonts w:asciiTheme="minorHAnsi" w:hAnsiTheme="minorHAnsi" w:cs="Arial"/>
        </w:rPr>
        <w:t xml:space="preserve"> </w:t>
      </w:r>
      <w:r w:rsidRPr="00A72628">
        <w:rPr>
          <w:rFonts w:asciiTheme="minorHAnsi" w:hAnsiTheme="minorHAnsi" w:cs="Arial"/>
        </w:rPr>
        <w:t xml:space="preserve">Sentinel-Lymphknotenbiopsie (SLNB) zur </w:t>
      </w:r>
      <w:proofErr w:type="spellStart"/>
      <w:r w:rsidRPr="00A72628">
        <w:rPr>
          <w:rFonts w:asciiTheme="minorHAnsi" w:hAnsiTheme="minorHAnsi" w:cs="Arial"/>
        </w:rPr>
        <w:t>Stadienbestimmung</w:t>
      </w:r>
      <w:proofErr w:type="spellEnd"/>
      <w:r w:rsidRPr="00A72628">
        <w:rPr>
          <w:rFonts w:asciiTheme="minorHAnsi" w:hAnsiTheme="minorHAnsi" w:cs="Arial"/>
        </w:rPr>
        <w:t xml:space="preserve"> vermieden werden könnte</w:t>
      </w:r>
      <w:r w:rsidR="003C1035">
        <w:rPr>
          <w:rFonts w:asciiTheme="minorHAnsi" w:hAnsiTheme="minorHAnsi" w:cs="Arial"/>
        </w:rPr>
        <w:t xml:space="preserve"> </w:t>
      </w:r>
      <w:r w:rsidR="00413776">
        <w:rPr>
          <w:rFonts w:asciiTheme="minorHAnsi" w:hAnsiTheme="minorHAnsi" w:cs="Arial"/>
        </w:rPr>
        <w:t xml:space="preserve">(Schmitz 2009, </w:t>
      </w:r>
      <w:r w:rsidR="00413776" w:rsidRPr="00954CC6">
        <w:rPr>
          <w:rFonts w:asciiTheme="minorHAnsi" w:hAnsiTheme="minorHAnsi" w:cs="Arial"/>
        </w:rPr>
        <w:t xml:space="preserve">O'Connor </w:t>
      </w:r>
      <w:r w:rsidR="00413776">
        <w:rPr>
          <w:rFonts w:asciiTheme="minorHAnsi" w:hAnsiTheme="minorHAnsi" w:cs="Arial"/>
        </w:rPr>
        <w:t xml:space="preserve">2013, Monroe 2012, Monroe 2014, </w:t>
      </w:r>
      <w:proofErr w:type="spellStart"/>
      <w:r w:rsidR="00063177">
        <w:rPr>
          <w:rFonts w:asciiTheme="minorHAnsi" w:hAnsiTheme="minorHAnsi" w:cs="Arial"/>
        </w:rPr>
        <w:t>Schiefke</w:t>
      </w:r>
      <w:proofErr w:type="spellEnd"/>
      <w:r w:rsidR="00063177">
        <w:rPr>
          <w:rFonts w:asciiTheme="minorHAnsi" w:hAnsiTheme="minorHAnsi" w:cs="Arial"/>
        </w:rPr>
        <w:t xml:space="preserve"> 2009, </w:t>
      </w:r>
      <w:proofErr w:type="spellStart"/>
      <w:r w:rsidR="00063177">
        <w:rPr>
          <w:rFonts w:asciiTheme="minorHAnsi" w:hAnsiTheme="minorHAnsi" w:cs="Arial"/>
        </w:rPr>
        <w:t>Murer</w:t>
      </w:r>
      <w:proofErr w:type="spellEnd"/>
      <w:r w:rsidR="00063177">
        <w:rPr>
          <w:rFonts w:asciiTheme="minorHAnsi" w:hAnsiTheme="minorHAnsi" w:cs="Arial"/>
        </w:rPr>
        <w:t xml:space="preserve"> 20</w:t>
      </w:r>
      <w:r w:rsidR="00413776">
        <w:rPr>
          <w:rFonts w:asciiTheme="minorHAnsi" w:hAnsiTheme="minorHAnsi" w:cs="Arial"/>
        </w:rPr>
        <w:t>11).</w:t>
      </w:r>
      <w:r w:rsidRPr="00A72628">
        <w:rPr>
          <w:rFonts w:asciiTheme="minorHAnsi" w:hAnsiTheme="minorHAnsi" w:cs="Arial"/>
        </w:rPr>
        <w:t> </w:t>
      </w:r>
      <w:r w:rsidR="008052DE">
        <w:rPr>
          <w:rFonts w:asciiTheme="minorHAnsi" w:hAnsiTheme="minorHAnsi" w:cs="Calibri"/>
          <w:bCs/>
        </w:rPr>
        <w:t>LYMPHOSEEK</w:t>
      </w:r>
      <w:r w:rsidR="00042E06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042E06" w:rsidRPr="00A72628">
        <w:rPr>
          <w:rFonts w:asciiTheme="minorHAnsi" w:hAnsiTheme="minorHAnsi" w:cs="Arial"/>
        </w:rPr>
        <w:t xml:space="preserve"> </w:t>
      </w:r>
      <w:r w:rsidR="00042E06">
        <w:rPr>
          <w:rFonts w:asciiTheme="minorHAnsi" w:hAnsiTheme="minorHAnsi" w:cs="Arial"/>
        </w:rPr>
        <w:t>kann damit einen Nutzenvorteil</w:t>
      </w:r>
      <w:r w:rsidR="00042E06" w:rsidRPr="00A72628">
        <w:rPr>
          <w:rFonts w:asciiTheme="minorHAnsi" w:hAnsiTheme="minorHAnsi" w:cs="Arial"/>
        </w:rPr>
        <w:t xml:space="preserve"> in der Lymphdrainage von Tumoren am Mundboden (unter der Zunge)</w:t>
      </w:r>
      <w:r w:rsidR="00042E06">
        <w:rPr>
          <w:rFonts w:asciiTheme="minorHAnsi" w:hAnsiTheme="minorHAnsi" w:cs="Arial"/>
        </w:rPr>
        <w:t xml:space="preserve"> </w:t>
      </w:r>
      <w:r w:rsidR="006A3F9F">
        <w:rPr>
          <w:rFonts w:asciiTheme="minorHAnsi" w:hAnsiTheme="minorHAnsi" w:cs="Arial"/>
        </w:rPr>
        <w:t xml:space="preserve">im Vergleich zu herkömmlichen Verfahren </w:t>
      </w:r>
      <w:r w:rsidR="00042E06">
        <w:rPr>
          <w:rFonts w:asciiTheme="minorHAnsi" w:hAnsiTheme="minorHAnsi" w:cs="Arial"/>
        </w:rPr>
        <w:t>belegen.</w:t>
      </w:r>
    </w:p>
    <w:p w:rsidR="00413776" w:rsidRDefault="00413776" w:rsidP="006B42DB">
      <w:pPr>
        <w:spacing w:line="276" w:lineRule="auto"/>
        <w:jc w:val="both"/>
        <w:rPr>
          <w:rFonts w:asciiTheme="minorHAnsi" w:hAnsiTheme="minorHAnsi" w:cs="Calibri"/>
          <w:bCs/>
        </w:rPr>
      </w:pPr>
    </w:p>
    <w:p w:rsidR="00A72628" w:rsidRDefault="008052DE" w:rsidP="006B42DB">
      <w:pPr>
        <w:spacing w:line="276" w:lineRule="auto"/>
        <w:jc w:val="both"/>
      </w:pPr>
      <w:r>
        <w:rPr>
          <w:rFonts w:asciiTheme="minorHAnsi" w:hAnsiTheme="minorHAnsi" w:cs="Calibri"/>
          <w:bCs/>
        </w:rPr>
        <w:t>LYMPHOSEEK</w:t>
      </w:r>
      <w:r w:rsidR="00286DC3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286DC3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286DC3">
        <w:rPr>
          <w:rStyle w:val="label3"/>
          <w:rFonts w:asciiTheme="minorHAnsi" w:hAnsiTheme="minorHAnsi" w:cs="Arial"/>
          <w:specVanish w:val="0"/>
        </w:rPr>
        <w:t>kann</w:t>
      </w:r>
      <w:r w:rsidR="00286DC3" w:rsidRPr="00286DC3">
        <w:rPr>
          <w:rStyle w:val="label3"/>
          <w:rFonts w:asciiTheme="minorHAnsi" w:hAnsiTheme="minorHAnsi" w:cs="Arial"/>
          <w:specVanish w:val="0"/>
        </w:rPr>
        <w:t xml:space="preserve"> zudem durch eine klei</w:t>
      </w:r>
      <w:r w:rsidR="00286DC3">
        <w:rPr>
          <w:rStyle w:val="label3"/>
          <w:rFonts w:asciiTheme="minorHAnsi" w:hAnsiTheme="minorHAnsi" w:cs="Arial"/>
          <w:specVanish w:val="0"/>
        </w:rPr>
        <w:t xml:space="preserve">ne Molekülgröße von nur 7 </w:t>
      </w:r>
      <w:proofErr w:type="spellStart"/>
      <w:r w:rsidR="00286DC3">
        <w:rPr>
          <w:rStyle w:val="label3"/>
          <w:rFonts w:asciiTheme="minorHAnsi" w:hAnsiTheme="minorHAnsi" w:cs="Arial"/>
          <w:specVanish w:val="0"/>
        </w:rPr>
        <w:t>nm</w:t>
      </w:r>
      <w:proofErr w:type="spellEnd"/>
      <w:r w:rsidR="00286DC3" w:rsidRPr="00286DC3">
        <w:rPr>
          <w:rStyle w:val="label3"/>
          <w:rFonts w:asciiTheme="minorHAnsi" w:hAnsiTheme="minorHAnsi" w:cs="Arial"/>
          <w:specVanish w:val="0"/>
        </w:rPr>
        <w:t xml:space="preserve"> einen schnellen Transport von der Injektionsstelle zu den Wächterlymphknoten ermöglich</w:t>
      </w:r>
      <w:r w:rsidR="00286DC3">
        <w:rPr>
          <w:rStyle w:val="label3"/>
          <w:rFonts w:asciiTheme="minorHAnsi" w:hAnsiTheme="minorHAnsi" w:cs="Arial"/>
          <w:specVanish w:val="0"/>
        </w:rPr>
        <w:t xml:space="preserve">en; weiter </w:t>
      </w:r>
      <w:r w:rsidR="00286DC3" w:rsidRPr="00286DC3">
        <w:rPr>
          <w:rStyle w:val="label3"/>
          <w:rFonts w:asciiTheme="minorHAnsi" w:hAnsiTheme="minorHAnsi" w:cs="Arial"/>
          <w:specVanish w:val="0"/>
        </w:rPr>
        <w:t>wird dadurch der Shine Through-Effekt minimiert</w:t>
      </w:r>
      <w:r w:rsidR="00286DC3">
        <w:rPr>
          <w:rStyle w:val="label3"/>
          <w:rFonts w:asciiTheme="minorHAnsi" w:hAnsiTheme="minorHAnsi" w:cs="Arial"/>
          <w:specVanish w:val="0"/>
        </w:rPr>
        <w:t xml:space="preserve"> (Seim 2016)</w:t>
      </w:r>
      <w:r w:rsidR="00286DC3" w:rsidRPr="00286DC3">
        <w:rPr>
          <w:rStyle w:val="label3"/>
          <w:rFonts w:asciiTheme="minorHAnsi" w:hAnsiTheme="minorHAnsi" w:cs="Arial"/>
          <w:specVanish w:val="0"/>
        </w:rPr>
        <w:t xml:space="preserve">. Die rasche Clearance an der Injektionsstelle in Kombination mit der zielgerichteten Retention im Lymphknoten führt </w:t>
      </w:r>
      <w:r w:rsidR="00286DC3">
        <w:rPr>
          <w:rStyle w:val="label3"/>
          <w:rFonts w:asciiTheme="minorHAnsi" w:hAnsiTheme="minorHAnsi" w:cs="Arial"/>
          <w:specVanish w:val="0"/>
        </w:rPr>
        <w:t xml:space="preserve">daher </w:t>
      </w:r>
      <w:r w:rsidR="00A72628">
        <w:rPr>
          <w:rStyle w:val="label3"/>
          <w:rFonts w:asciiTheme="minorHAnsi" w:hAnsiTheme="minorHAnsi" w:cs="Arial"/>
          <w:specVanish w:val="0"/>
        </w:rPr>
        <w:t>zu einem breiten</w:t>
      </w:r>
      <w:r w:rsidR="00286DC3" w:rsidRPr="00286DC3">
        <w:rPr>
          <w:rStyle w:val="label3"/>
          <w:rFonts w:asciiTheme="minorHAnsi" w:hAnsiTheme="minorHAnsi" w:cs="Arial"/>
          <w:specVanish w:val="0"/>
        </w:rPr>
        <w:t xml:space="preserve"> Zeitfenster ab 15 Minuten und bis zu 30 Stunden nach Injektion, in der die Bildgebung und SLNB stattfinden kann. So wird eine flexible</w:t>
      </w:r>
      <w:r w:rsidR="00413776">
        <w:rPr>
          <w:rStyle w:val="label3"/>
          <w:rFonts w:asciiTheme="minorHAnsi" w:hAnsiTheme="minorHAnsi" w:cs="Arial"/>
          <w:specVanish w:val="0"/>
        </w:rPr>
        <w:t>re</w:t>
      </w:r>
      <w:r w:rsidR="00286DC3" w:rsidRPr="00286DC3">
        <w:rPr>
          <w:rStyle w:val="label3"/>
          <w:rFonts w:asciiTheme="minorHAnsi" w:hAnsiTheme="minorHAnsi" w:cs="Arial"/>
          <w:specVanish w:val="0"/>
        </w:rPr>
        <w:t xml:space="preserve"> </w:t>
      </w:r>
      <w:r w:rsidR="00286DC3">
        <w:rPr>
          <w:rStyle w:val="label3"/>
          <w:rFonts w:asciiTheme="minorHAnsi" w:hAnsiTheme="minorHAnsi" w:cs="Arial"/>
          <w:specVanish w:val="0"/>
        </w:rPr>
        <w:t>patientenorientierte</w:t>
      </w:r>
      <w:r w:rsidR="00286DC3" w:rsidRPr="00286DC3">
        <w:rPr>
          <w:rStyle w:val="label3"/>
          <w:rFonts w:asciiTheme="minorHAnsi" w:hAnsiTheme="minorHAnsi" w:cs="Arial"/>
          <w:specVanish w:val="0"/>
        </w:rPr>
        <w:t xml:space="preserve"> Planung und Durchführung von Bildgebung und SLNB </w:t>
      </w:r>
      <w:r w:rsidR="006A3F9F">
        <w:rPr>
          <w:rStyle w:val="label3"/>
          <w:rFonts w:asciiTheme="minorHAnsi" w:hAnsiTheme="minorHAnsi" w:cs="Arial"/>
          <w:specVanish w:val="0"/>
        </w:rPr>
        <w:t xml:space="preserve">(Verkürzung von Warte- und OP-Zeiten für Patienten) </w:t>
      </w:r>
      <w:r w:rsidR="00286DC3" w:rsidRPr="00286DC3">
        <w:rPr>
          <w:rStyle w:val="label3"/>
          <w:rFonts w:asciiTheme="minorHAnsi" w:hAnsiTheme="minorHAnsi" w:cs="Arial"/>
          <w:specVanish w:val="0"/>
        </w:rPr>
        <w:t>ermöglicht.</w:t>
      </w:r>
    </w:p>
    <w:p w:rsidR="006A3F9F" w:rsidRDefault="006A3F9F" w:rsidP="006B42DB">
      <w:pPr>
        <w:spacing w:line="276" w:lineRule="auto"/>
        <w:jc w:val="both"/>
        <w:rPr>
          <w:rStyle w:val="label3"/>
          <w:rFonts w:asciiTheme="minorHAnsi" w:hAnsiTheme="minorHAnsi" w:cs="Arial"/>
        </w:rPr>
      </w:pPr>
    </w:p>
    <w:p w:rsidR="00042E06" w:rsidRPr="00042E06" w:rsidRDefault="00042E06" w:rsidP="006B42DB">
      <w:pPr>
        <w:spacing w:line="276" w:lineRule="auto"/>
        <w:jc w:val="both"/>
        <w:rPr>
          <w:rStyle w:val="label3"/>
          <w:rFonts w:asciiTheme="minorHAnsi" w:hAnsiTheme="minorHAnsi" w:cs="Arial"/>
          <w:b/>
        </w:rPr>
      </w:pPr>
      <w:r w:rsidRPr="00042E06">
        <w:rPr>
          <w:rStyle w:val="label3"/>
          <w:rFonts w:asciiTheme="minorHAnsi" w:hAnsiTheme="minorHAnsi" w:cs="Arial"/>
          <w:b/>
          <w:specVanish w:val="0"/>
        </w:rPr>
        <w:t>Studienlage im Überblick</w:t>
      </w:r>
    </w:p>
    <w:p w:rsidR="00042E06" w:rsidRDefault="008052DE" w:rsidP="00042E06">
      <w:pPr>
        <w:spacing w:line="276" w:lineRule="auto"/>
        <w:jc w:val="both"/>
        <w:rPr>
          <w:rFonts w:asciiTheme="minorHAnsi" w:hAnsiTheme="minorHAnsi" w:cs="Arial"/>
        </w:rPr>
      </w:pPr>
      <w:r>
        <w:rPr>
          <w:rStyle w:val="label3"/>
          <w:rFonts w:asciiTheme="minorHAnsi" w:hAnsiTheme="minorHAnsi" w:cs="Arial"/>
          <w:specVanish w:val="0"/>
        </w:rPr>
        <w:t>LYMPHOSEEK</w:t>
      </w:r>
      <w:r w:rsidR="006B42DB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6B42DB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6B42DB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6B42DB">
        <w:rPr>
          <w:rFonts w:asciiTheme="minorHAnsi" w:hAnsiTheme="minorHAnsi" w:cs="Arial"/>
        </w:rPr>
        <w:t>T</w:t>
      </w:r>
      <w:r w:rsidR="006B42DB" w:rsidRPr="000508A7">
        <w:rPr>
          <w:rFonts w:asciiTheme="minorHAnsi" w:hAnsiTheme="minorHAnsi" w:cs="Arial"/>
        </w:rPr>
        <w:t>ilmanocept</w:t>
      </w:r>
      <w:proofErr w:type="spellEnd"/>
      <w:r w:rsidR="006B42DB" w:rsidRPr="006178AE">
        <w:rPr>
          <w:rFonts w:asciiTheme="minorHAnsi" w:hAnsiTheme="minorHAnsi" w:cs="Arial"/>
        </w:rPr>
        <w:t>)</w:t>
      </w:r>
      <w:r w:rsidR="006B42DB" w:rsidRPr="006178AE">
        <w:rPr>
          <w:rStyle w:val="label3"/>
          <w:rFonts w:asciiTheme="minorHAnsi" w:hAnsiTheme="minorHAnsi" w:cs="Arial"/>
          <w:specVanish w:val="0"/>
        </w:rPr>
        <w:t xml:space="preserve"> </w:t>
      </w:r>
      <w:r w:rsidR="006B42DB" w:rsidRPr="00493DBC">
        <w:rPr>
          <w:rFonts w:asciiTheme="minorHAnsi" w:hAnsiTheme="minorHAnsi" w:cs="Arial"/>
        </w:rPr>
        <w:t xml:space="preserve">wurde im Rahmen verschiedenster klinischer Studien hinsichtlich seines </w:t>
      </w:r>
      <w:r w:rsidR="00042E06">
        <w:rPr>
          <w:rFonts w:asciiTheme="minorHAnsi" w:hAnsiTheme="minorHAnsi" w:cs="Arial"/>
        </w:rPr>
        <w:t>Nutzens</w:t>
      </w:r>
      <w:r w:rsidR="006B42DB" w:rsidRPr="00493DBC">
        <w:rPr>
          <w:rFonts w:asciiTheme="minorHAnsi" w:hAnsiTheme="minorHAnsi" w:cs="Arial"/>
        </w:rPr>
        <w:t xml:space="preserve"> in der Diagnostik einer lymphogenen Metastasierung evaluiert und mit anderen diagnostischen Verfahren (z.B. Blue </w:t>
      </w:r>
      <w:proofErr w:type="spellStart"/>
      <w:r w:rsidR="006B42DB" w:rsidRPr="00493DBC">
        <w:rPr>
          <w:rFonts w:asciiTheme="minorHAnsi" w:hAnsiTheme="minorHAnsi" w:cs="Arial"/>
        </w:rPr>
        <w:t>dye</w:t>
      </w:r>
      <w:proofErr w:type="spellEnd"/>
      <w:r w:rsidR="006B42DB" w:rsidRPr="00493DBC">
        <w:rPr>
          <w:rFonts w:asciiTheme="minorHAnsi" w:hAnsiTheme="minorHAnsi" w:cs="Arial"/>
        </w:rPr>
        <w:t>, [</w:t>
      </w:r>
      <w:r w:rsidR="006B42DB" w:rsidRPr="00493DBC">
        <w:rPr>
          <w:rFonts w:asciiTheme="minorHAnsi" w:hAnsiTheme="minorHAnsi" w:cs="Arial"/>
          <w:vertAlign w:val="superscript"/>
        </w:rPr>
        <w:t>99Tc</w:t>
      </w:r>
      <w:r w:rsidR="006B42DB" w:rsidRPr="00493DBC">
        <w:rPr>
          <w:rFonts w:asciiTheme="minorHAnsi" w:hAnsiTheme="minorHAnsi" w:cs="Arial"/>
        </w:rPr>
        <w:t xml:space="preserve"> </w:t>
      </w:r>
      <w:proofErr w:type="spellStart"/>
      <w:r w:rsidR="006B42DB" w:rsidRPr="00493DBC">
        <w:rPr>
          <w:rFonts w:asciiTheme="minorHAnsi" w:hAnsiTheme="minorHAnsi" w:cs="Arial"/>
        </w:rPr>
        <w:t>sulfur</w:t>
      </w:r>
      <w:proofErr w:type="spellEnd"/>
      <w:r w:rsidR="006B42DB" w:rsidRPr="00493DBC">
        <w:rPr>
          <w:rFonts w:asciiTheme="minorHAnsi" w:hAnsiTheme="minorHAnsi" w:cs="Arial"/>
        </w:rPr>
        <w:t xml:space="preserve"> </w:t>
      </w:r>
      <w:proofErr w:type="spellStart"/>
      <w:r w:rsidR="006B42DB" w:rsidRPr="00493DBC">
        <w:rPr>
          <w:rFonts w:asciiTheme="minorHAnsi" w:hAnsiTheme="minorHAnsi" w:cs="Arial"/>
        </w:rPr>
        <w:t>colloid</w:t>
      </w:r>
      <w:proofErr w:type="spellEnd"/>
      <w:r w:rsidR="006B42DB" w:rsidRPr="00493DBC">
        <w:rPr>
          <w:rFonts w:asciiTheme="minorHAnsi" w:hAnsiTheme="minorHAnsi" w:cs="Arial"/>
        </w:rPr>
        <w:t xml:space="preserve">]) verglichen </w:t>
      </w:r>
      <w:r w:rsidR="006B42DB" w:rsidRPr="00C57961">
        <w:rPr>
          <w:rFonts w:asciiTheme="minorHAnsi" w:hAnsiTheme="minorHAnsi" w:cs="Arial"/>
        </w:rPr>
        <w:t>(</w:t>
      </w:r>
      <w:proofErr w:type="spellStart"/>
      <w:r w:rsidR="006B42DB" w:rsidRPr="00C57961">
        <w:rPr>
          <w:rFonts w:asciiTheme="minorHAnsi" w:hAnsiTheme="minorHAnsi" w:cs="Arial"/>
        </w:rPr>
        <w:t>Sondak</w:t>
      </w:r>
      <w:proofErr w:type="spellEnd"/>
      <w:r w:rsidR="006B42DB" w:rsidRPr="00C57961">
        <w:rPr>
          <w:rFonts w:asciiTheme="minorHAnsi" w:hAnsiTheme="minorHAnsi" w:cs="Arial"/>
        </w:rPr>
        <w:t xml:space="preserve"> 2013, Wallace 2013, </w:t>
      </w:r>
      <w:r w:rsidR="006B42DB" w:rsidRPr="00AE015F">
        <w:rPr>
          <w:rFonts w:asciiTheme="minorHAnsi" w:hAnsiTheme="minorHAnsi" w:cs="Arial"/>
        </w:rPr>
        <w:t xml:space="preserve">Baker 2015, </w:t>
      </w:r>
      <w:proofErr w:type="spellStart"/>
      <w:r w:rsidR="006B42DB" w:rsidRPr="00AE015F">
        <w:rPr>
          <w:rFonts w:asciiTheme="minorHAnsi" w:hAnsiTheme="minorHAnsi" w:cs="Arial"/>
        </w:rPr>
        <w:t>Agrawal</w:t>
      </w:r>
      <w:proofErr w:type="spellEnd"/>
      <w:r w:rsidR="006B42DB" w:rsidRPr="00AE015F">
        <w:rPr>
          <w:rFonts w:asciiTheme="minorHAnsi" w:hAnsiTheme="minorHAnsi" w:cs="Arial"/>
        </w:rPr>
        <w:t xml:space="preserve"> 2015</w:t>
      </w:r>
      <w:r w:rsidR="006B42DB" w:rsidRPr="00493DBC">
        <w:rPr>
          <w:rFonts w:asciiTheme="minorHAnsi" w:hAnsiTheme="minorHAnsi" w:cs="Arial"/>
        </w:rPr>
        <w:t>).</w:t>
      </w:r>
      <w:r w:rsidR="006B42DB">
        <w:rPr>
          <w:rFonts w:asciiTheme="minorHAnsi" w:hAnsiTheme="minorHAnsi" w:cs="Arial"/>
        </w:rPr>
        <w:t xml:space="preserve"> Mittels </w:t>
      </w:r>
      <w:r>
        <w:rPr>
          <w:rStyle w:val="label3"/>
          <w:rFonts w:asciiTheme="minorHAnsi" w:hAnsiTheme="minorHAnsi" w:cs="Arial"/>
          <w:specVanish w:val="0"/>
        </w:rPr>
        <w:t>LYMPHOSEEK</w:t>
      </w:r>
      <w:r w:rsidR="00042E06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042E06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6B42DB">
        <w:rPr>
          <w:rFonts w:asciiTheme="minorHAnsi" w:hAnsiTheme="minorHAnsi" w:cs="Arial"/>
        </w:rPr>
        <w:t>(</w:t>
      </w:r>
      <w:proofErr w:type="spellStart"/>
      <w:r w:rsidR="006B42DB">
        <w:rPr>
          <w:rFonts w:asciiTheme="minorHAnsi" w:hAnsiTheme="minorHAnsi" w:cs="Arial"/>
        </w:rPr>
        <w:t>Tilmanocept</w:t>
      </w:r>
      <w:proofErr w:type="spellEnd"/>
      <w:r w:rsidR="006B42DB">
        <w:rPr>
          <w:rFonts w:asciiTheme="minorHAnsi" w:hAnsiTheme="minorHAnsi" w:cs="Arial"/>
        </w:rPr>
        <w:t xml:space="preserve">) wurde </w:t>
      </w:r>
      <w:r w:rsidR="006B42DB" w:rsidRPr="00493DBC">
        <w:rPr>
          <w:rFonts w:asciiTheme="minorHAnsi" w:hAnsiTheme="minorHAnsi" w:cs="Arial"/>
        </w:rPr>
        <w:t xml:space="preserve">eine statistisch signifikant höhere Detektionsrate von </w:t>
      </w:r>
      <w:r w:rsidR="006B42DB">
        <w:rPr>
          <w:rFonts w:asciiTheme="minorHAnsi" w:hAnsiTheme="minorHAnsi" w:cs="Arial"/>
        </w:rPr>
        <w:t>befallenen</w:t>
      </w:r>
      <w:r w:rsidR="006B42DB" w:rsidRPr="00493DBC">
        <w:rPr>
          <w:rFonts w:asciiTheme="minorHAnsi" w:hAnsiTheme="minorHAnsi" w:cs="Arial"/>
        </w:rPr>
        <w:t xml:space="preserve"> Sentinel-Lymphknoten im Vergleich zu anderen Verfahren </w:t>
      </w:r>
      <w:r w:rsidR="006B42DB">
        <w:rPr>
          <w:rFonts w:asciiTheme="minorHAnsi" w:hAnsiTheme="minorHAnsi" w:cs="Arial"/>
        </w:rPr>
        <w:t>erreicht</w:t>
      </w:r>
      <w:r w:rsidR="006B42DB" w:rsidRPr="00493DBC">
        <w:rPr>
          <w:rFonts w:asciiTheme="minorHAnsi" w:hAnsiTheme="minorHAnsi" w:cs="Arial"/>
        </w:rPr>
        <w:t xml:space="preserve"> </w:t>
      </w:r>
      <w:r w:rsidR="006B42DB" w:rsidRPr="00C57961">
        <w:rPr>
          <w:rFonts w:asciiTheme="minorHAnsi" w:hAnsiTheme="minorHAnsi" w:cs="Arial"/>
        </w:rPr>
        <w:t>(</w:t>
      </w:r>
      <w:proofErr w:type="spellStart"/>
      <w:r w:rsidR="006B42DB" w:rsidRPr="00C57961">
        <w:rPr>
          <w:rFonts w:asciiTheme="minorHAnsi" w:hAnsiTheme="minorHAnsi" w:cs="Arial"/>
        </w:rPr>
        <w:t>Sondak</w:t>
      </w:r>
      <w:proofErr w:type="spellEnd"/>
      <w:r w:rsidR="006B42DB" w:rsidRPr="00C57961">
        <w:rPr>
          <w:rFonts w:asciiTheme="minorHAnsi" w:hAnsiTheme="minorHAnsi" w:cs="Arial"/>
        </w:rPr>
        <w:t xml:space="preserve"> 2013, </w:t>
      </w:r>
      <w:proofErr w:type="spellStart"/>
      <w:r w:rsidR="006B42DB" w:rsidRPr="00C57961">
        <w:rPr>
          <w:rFonts w:asciiTheme="minorHAnsi" w:hAnsiTheme="minorHAnsi" w:cs="Arial"/>
        </w:rPr>
        <w:t>Civantos</w:t>
      </w:r>
      <w:proofErr w:type="spellEnd"/>
      <w:r w:rsidR="006B42DB">
        <w:rPr>
          <w:rFonts w:asciiTheme="minorHAnsi" w:hAnsiTheme="minorHAnsi" w:cs="Arial"/>
        </w:rPr>
        <w:t xml:space="preserve"> 2010, </w:t>
      </w:r>
      <w:proofErr w:type="spellStart"/>
      <w:r w:rsidR="006B42DB">
        <w:rPr>
          <w:rFonts w:asciiTheme="minorHAnsi" w:hAnsiTheme="minorHAnsi" w:cs="Arial"/>
        </w:rPr>
        <w:t>Marcinow</w:t>
      </w:r>
      <w:proofErr w:type="spellEnd"/>
      <w:r w:rsidR="006B42DB">
        <w:rPr>
          <w:rFonts w:asciiTheme="minorHAnsi" w:hAnsiTheme="minorHAnsi" w:cs="Arial"/>
        </w:rPr>
        <w:t xml:space="preserve"> 2013</w:t>
      </w:r>
      <w:r w:rsidR="006B42DB" w:rsidRPr="00493DBC">
        <w:rPr>
          <w:rFonts w:asciiTheme="minorHAnsi" w:hAnsiTheme="minorHAnsi" w:cs="Arial"/>
        </w:rPr>
        <w:t>).</w:t>
      </w:r>
      <w:r w:rsidR="006B42DB">
        <w:rPr>
          <w:rFonts w:asciiTheme="minorHAnsi" w:hAnsiTheme="minorHAnsi" w:cs="Arial"/>
        </w:rPr>
        <w:t xml:space="preserve"> Weiterhin konnte </w:t>
      </w:r>
      <w:r w:rsidR="006B42DB" w:rsidRPr="00493DBC">
        <w:rPr>
          <w:rFonts w:asciiTheme="minorHAnsi" w:hAnsiTheme="minorHAnsi" w:cs="Arial"/>
        </w:rPr>
        <w:t>beobachtet werden, dass unter Einsatz von [</w:t>
      </w:r>
      <w:r w:rsidR="006B42DB" w:rsidRPr="00493DBC">
        <w:rPr>
          <w:rFonts w:asciiTheme="minorHAnsi" w:hAnsiTheme="minorHAnsi" w:cs="Arial"/>
          <w:vertAlign w:val="superscript"/>
        </w:rPr>
        <w:t>99m</w:t>
      </w:r>
      <w:r w:rsidR="006B42DB" w:rsidRPr="00493DBC">
        <w:rPr>
          <w:rFonts w:asciiTheme="minorHAnsi" w:hAnsiTheme="minorHAnsi" w:cs="Arial"/>
        </w:rPr>
        <w:t>Tc]</w:t>
      </w:r>
      <w:r w:rsidR="003E5759">
        <w:rPr>
          <w:rFonts w:asciiTheme="minorHAnsi" w:hAnsiTheme="minorHAnsi" w:cs="Arial"/>
        </w:rPr>
        <w:t xml:space="preserve"> </w:t>
      </w:r>
      <w:proofErr w:type="spellStart"/>
      <w:r w:rsidR="006B42DB" w:rsidRPr="00493DBC">
        <w:rPr>
          <w:rFonts w:asciiTheme="minorHAnsi" w:hAnsiTheme="minorHAnsi" w:cs="Arial"/>
        </w:rPr>
        <w:t>Tilmanocept</w:t>
      </w:r>
      <w:proofErr w:type="spellEnd"/>
      <w:r w:rsidR="006B42DB" w:rsidRPr="00493DBC">
        <w:rPr>
          <w:rFonts w:asciiTheme="minorHAnsi" w:hAnsiTheme="minorHAnsi" w:cs="Arial"/>
        </w:rPr>
        <w:t xml:space="preserve"> weniger Knoten entnommen werden müssen, um eine lymphatische Metastasierung zu erk</w:t>
      </w:r>
      <w:r w:rsidR="006B42DB">
        <w:rPr>
          <w:rFonts w:asciiTheme="minorHAnsi" w:hAnsiTheme="minorHAnsi" w:cs="Arial"/>
        </w:rPr>
        <w:t>ennen und dass die auf Basis der Anwendung von</w:t>
      </w:r>
      <w:r w:rsidR="006B42DB" w:rsidRPr="00493DBC">
        <w:rPr>
          <w:rFonts w:asciiTheme="minorHAnsi" w:hAnsiTheme="minorHAnsi" w:cs="Arial"/>
        </w:rPr>
        <w:t xml:space="preserve"> [</w:t>
      </w:r>
      <w:r w:rsidR="006B42DB" w:rsidRPr="00493DBC">
        <w:rPr>
          <w:rFonts w:asciiTheme="minorHAnsi" w:hAnsiTheme="minorHAnsi" w:cs="Arial"/>
          <w:vertAlign w:val="superscript"/>
        </w:rPr>
        <w:t>99m</w:t>
      </w:r>
      <w:r w:rsidR="006B42DB" w:rsidRPr="00493DBC">
        <w:rPr>
          <w:rFonts w:asciiTheme="minorHAnsi" w:hAnsiTheme="minorHAnsi" w:cs="Arial"/>
        </w:rPr>
        <w:t>Tc]</w:t>
      </w:r>
      <w:r w:rsidR="003E5759">
        <w:rPr>
          <w:rFonts w:asciiTheme="minorHAnsi" w:hAnsiTheme="minorHAnsi" w:cs="Arial"/>
        </w:rPr>
        <w:t xml:space="preserve"> </w:t>
      </w:r>
      <w:proofErr w:type="spellStart"/>
      <w:r w:rsidR="006B42DB" w:rsidRPr="00493DBC">
        <w:rPr>
          <w:rFonts w:asciiTheme="minorHAnsi" w:hAnsiTheme="minorHAnsi" w:cs="Arial"/>
        </w:rPr>
        <w:t>Tilmanocept</w:t>
      </w:r>
      <w:proofErr w:type="spellEnd"/>
      <w:r w:rsidR="006B42DB" w:rsidRPr="00493DBC">
        <w:rPr>
          <w:rFonts w:asciiTheme="minorHAnsi" w:hAnsiTheme="minorHAnsi" w:cs="Arial"/>
        </w:rPr>
        <w:t xml:space="preserve"> entnommenen Knoten einen höheren prädiktiven Wert aufweisen </w:t>
      </w:r>
      <w:r w:rsidR="006B42DB" w:rsidRPr="00AE015F">
        <w:rPr>
          <w:rFonts w:asciiTheme="minorHAnsi" w:hAnsiTheme="minorHAnsi" w:cs="Arial"/>
        </w:rPr>
        <w:t>(Baker 2015</w:t>
      </w:r>
      <w:r w:rsidR="006B42DB" w:rsidRPr="00493DBC">
        <w:rPr>
          <w:rFonts w:asciiTheme="minorHAnsi" w:hAnsiTheme="minorHAnsi" w:cs="Arial"/>
        </w:rPr>
        <w:t>).</w:t>
      </w:r>
      <w:r w:rsidR="006B42DB">
        <w:rPr>
          <w:rFonts w:asciiTheme="minorHAnsi" w:hAnsiTheme="minorHAnsi" w:cs="Arial"/>
        </w:rPr>
        <w:t xml:space="preserve"> Zudem konnte in einer randomisierten, </w:t>
      </w:r>
      <w:r w:rsidR="006B42DB">
        <w:rPr>
          <w:rFonts w:asciiTheme="minorHAnsi" w:hAnsiTheme="minorHAnsi" w:cs="Arial"/>
        </w:rPr>
        <w:lastRenderedPageBreak/>
        <w:t xml:space="preserve">doppelblinden Studie gezeigt werden, dass der Injektionsschmerz bei Anwendung von </w:t>
      </w:r>
      <w:r w:rsidR="006B42DB" w:rsidRPr="00493DBC">
        <w:rPr>
          <w:rFonts w:asciiTheme="minorHAnsi" w:hAnsiTheme="minorHAnsi" w:cs="Arial"/>
        </w:rPr>
        <w:t>[</w:t>
      </w:r>
      <w:r w:rsidR="006B42DB" w:rsidRPr="00493DBC">
        <w:rPr>
          <w:rFonts w:asciiTheme="minorHAnsi" w:hAnsiTheme="minorHAnsi" w:cs="Arial"/>
          <w:vertAlign w:val="superscript"/>
        </w:rPr>
        <w:t>99m</w:t>
      </w:r>
      <w:r w:rsidR="006B42DB" w:rsidRPr="00493DBC">
        <w:rPr>
          <w:rFonts w:asciiTheme="minorHAnsi" w:hAnsiTheme="minorHAnsi" w:cs="Arial"/>
        </w:rPr>
        <w:t>Tc]</w:t>
      </w:r>
      <w:r w:rsidR="003E5759">
        <w:rPr>
          <w:rFonts w:asciiTheme="minorHAnsi" w:hAnsiTheme="minorHAnsi" w:cs="Arial"/>
        </w:rPr>
        <w:t xml:space="preserve"> </w:t>
      </w:r>
      <w:proofErr w:type="spellStart"/>
      <w:r w:rsidR="006B42DB" w:rsidRPr="00493DBC">
        <w:rPr>
          <w:rFonts w:asciiTheme="minorHAnsi" w:hAnsiTheme="minorHAnsi" w:cs="Arial"/>
        </w:rPr>
        <w:t>Tilmanocept</w:t>
      </w:r>
      <w:proofErr w:type="spellEnd"/>
      <w:r w:rsidR="006B42DB">
        <w:rPr>
          <w:rFonts w:asciiTheme="minorHAnsi" w:hAnsiTheme="minorHAnsi" w:cs="Arial"/>
        </w:rPr>
        <w:t xml:space="preserve"> signifikant geringer ist als bei vergleichbaren Radiodiagnostika (</w:t>
      </w:r>
      <w:proofErr w:type="spellStart"/>
      <w:r w:rsidR="006B42DB">
        <w:rPr>
          <w:rFonts w:asciiTheme="minorHAnsi" w:hAnsiTheme="minorHAnsi" w:cs="Arial"/>
        </w:rPr>
        <w:t>Unkar</w:t>
      </w:r>
      <w:r w:rsidR="00042E06">
        <w:rPr>
          <w:rFonts w:asciiTheme="minorHAnsi" w:hAnsiTheme="minorHAnsi" w:cs="Arial"/>
        </w:rPr>
        <w:t>t</w:t>
      </w:r>
      <w:proofErr w:type="spellEnd"/>
      <w:r w:rsidR="00042E06">
        <w:rPr>
          <w:rFonts w:asciiTheme="minorHAnsi" w:hAnsiTheme="minorHAnsi" w:cs="Arial"/>
        </w:rPr>
        <w:t xml:space="preserve"> 2015).</w:t>
      </w:r>
    </w:p>
    <w:p w:rsidR="00042E06" w:rsidRDefault="00042E06" w:rsidP="00042E06">
      <w:pPr>
        <w:spacing w:line="276" w:lineRule="auto"/>
        <w:jc w:val="both"/>
        <w:rPr>
          <w:rFonts w:asciiTheme="minorHAnsi" w:hAnsiTheme="minorHAnsi" w:cs="Arial"/>
        </w:rPr>
      </w:pPr>
    </w:p>
    <w:p w:rsidR="006B42DB" w:rsidRDefault="006B42DB" w:rsidP="00042E06">
      <w:pPr>
        <w:spacing w:line="276" w:lineRule="auto"/>
        <w:jc w:val="both"/>
        <w:rPr>
          <w:rFonts w:asciiTheme="minorHAnsi" w:hAnsiTheme="minorHAnsi" w:cs="Arial"/>
        </w:rPr>
      </w:pPr>
      <w:r w:rsidRPr="00493DBC">
        <w:rPr>
          <w:rFonts w:asciiTheme="minorHAnsi" w:hAnsiTheme="minorHAnsi" w:cs="Arial"/>
        </w:rPr>
        <w:t xml:space="preserve">Hieraus ergeben sich verschiedene Konsequenzen für das Risiko von Folgeerkrankungen, </w:t>
      </w:r>
      <w:r>
        <w:rPr>
          <w:rFonts w:asciiTheme="minorHAnsi" w:hAnsiTheme="minorHAnsi" w:cs="Arial"/>
        </w:rPr>
        <w:t xml:space="preserve">die insgesamt in der Patientenbehandlung </w:t>
      </w:r>
      <w:r w:rsidRPr="00493DBC">
        <w:rPr>
          <w:rFonts w:asciiTheme="minorHAnsi" w:hAnsiTheme="minorHAnsi" w:cs="Arial"/>
        </w:rPr>
        <w:t>aufzuwendende</w:t>
      </w:r>
      <w:r>
        <w:rPr>
          <w:rFonts w:asciiTheme="minorHAnsi" w:hAnsiTheme="minorHAnsi" w:cs="Arial"/>
        </w:rPr>
        <w:t>n</w:t>
      </w:r>
      <w:r w:rsidRPr="00493DBC">
        <w:rPr>
          <w:rFonts w:asciiTheme="minorHAnsi" w:hAnsiTheme="minorHAnsi" w:cs="Arial"/>
        </w:rPr>
        <w:t xml:space="preserve"> Kosten, das </w:t>
      </w:r>
      <w:proofErr w:type="spellStart"/>
      <w:r w:rsidRPr="00493DBC">
        <w:rPr>
          <w:rFonts w:asciiTheme="minorHAnsi" w:hAnsiTheme="minorHAnsi" w:cs="Arial"/>
        </w:rPr>
        <w:t>St</w:t>
      </w:r>
      <w:r>
        <w:rPr>
          <w:rFonts w:asciiTheme="minorHAnsi" w:hAnsiTheme="minorHAnsi" w:cs="Arial"/>
        </w:rPr>
        <w:t>aging</w:t>
      </w:r>
      <w:proofErr w:type="spellEnd"/>
      <w:r>
        <w:rPr>
          <w:rFonts w:asciiTheme="minorHAnsi" w:hAnsiTheme="minorHAnsi" w:cs="Arial"/>
        </w:rPr>
        <w:t xml:space="preserve"> sowie die Therapieplanung:</w:t>
      </w:r>
    </w:p>
    <w:p w:rsidR="00042E06" w:rsidRDefault="00042E06" w:rsidP="00042E06">
      <w:pPr>
        <w:spacing w:line="276" w:lineRule="auto"/>
        <w:jc w:val="both"/>
        <w:rPr>
          <w:rFonts w:asciiTheme="minorHAnsi" w:hAnsiTheme="minorHAnsi" w:cs="Arial"/>
        </w:rPr>
      </w:pPr>
    </w:p>
    <w:p w:rsidR="00042E06" w:rsidRDefault="003E5759" w:rsidP="003C1035">
      <w:pPr>
        <w:spacing w:line="276" w:lineRule="auto"/>
        <w:jc w:val="both"/>
        <w:rPr>
          <w:rStyle w:val="label3"/>
          <w:rFonts w:asciiTheme="minorHAnsi" w:hAnsiTheme="minorHAnsi" w:cs="Arial"/>
        </w:rPr>
      </w:pPr>
      <w:r w:rsidRPr="00493DBC">
        <w:rPr>
          <w:rFonts w:asciiTheme="minorHAnsi" w:hAnsiTheme="minorHAnsi" w:cs="Arial"/>
        </w:rPr>
        <w:t>Zum einen</w:t>
      </w:r>
      <w:r w:rsidR="006B42DB" w:rsidRPr="00493DBC">
        <w:rPr>
          <w:rFonts w:asciiTheme="minorHAnsi" w:hAnsiTheme="minorHAnsi" w:cs="Arial"/>
        </w:rPr>
        <w:t xml:space="preserve"> </w:t>
      </w:r>
      <w:r w:rsidR="006A3F9F">
        <w:rPr>
          <w:rFonts w:asciiTheme="minorHAnsi" w:hAnsiTheme="minorHAnsi" w:cs="Arial"/>
        </w:rPr>
        <w:t>belegen</w:t>
      </w:r>
      <w:r w:rsidR="006B42DB" w:rsidRPr="00493DBC">
        <w:rPr>
          <w:rFonts w:asciiTheme="minorHAnsi" w:hAnsiTheme="minorHAnsi" w:cs="Arial"/>
        </w:rPr>
        <w:t xml:space="preserve"> Studien, dass die Entnahme einer zu hohen</w:t>
      </w:r>
      <w:r w:rsidR="006A3F9F">
        <w:rPr>
          <w:rFonts w:asciiTheme="minorHAnsi" w:hAnsiTheme="minorHAnsi" w:cs="Arial"/>
        </w:rPr>
        <w:t xml:space="preserve"> Anzahl von Lymphknoten (z.B. &gt;</w:t>
      </w:r>
      <w:r w:rsidR="006B42DB" w:rsidRPr="00493DBC">
        <w:rPr>
          <w:rFonts w:asciiTheme="minorHAnsi" w:hAnsiTheme="minorHAnsi" w:cs="Arial"/>
        </w:rPr>
        <w:t>4 Knoten), welche unter Einsatz von [</w:t>
      </w:r>
      <w:r w:rsidR="006B42DB" w:rsidRPr="00493DBC">
        <w:rPr>
          <w:rFonts w:asciiTheme="minorHAnsi" w:hAnsiTheme="minorHAnsi" w:cs="Arial"/>
          <w:vertAlign w:val="superscript"/>
        </w:rPr>
        <w:t>99m</w:t>
      </w:r>
      <w:r w:rsidR="006B42DB" w:rsidRPr="00493DBC">
        <w:rPr>
          <w:rFonts w:asciiTheme="minorHAnsi" w:hAnsiTheme="minorHAnsi" w:cs="Arial"/>
        </w:rPr>
        <w:t>Tc]</w:t>
      </w:r>
      <w:r>
        <w:rPr>
          <w:rFonts w:asciiTheme="minorHAnsi" w:hAnsiTheme="minorHAnsi" w:cs="Arial"/>
        </w:rPr>
        <w:t xml:space="preserve"> </w:t>
      </w:r>
      <w:proofErr w:type="spellStart"/>
      <w:r w:rsidR="006B42DB" w:rsidRPr="00493DBC">
        <w:rPr>
          <w:rFonts w:asciiTheme="minorHAnsi" w:hAnsiTheme="minorHAnsi" w:cs="Arial"/>
        </w:rPr>
        <w:t>Tilmanocept</w:t>
      </w:r>
      <w:proofErr w:type="spellEnd"/>
      <w:r w:rsidR="006B42DB" w:rsidRPr="00493DBC">
        <w:rPr>
          <w:rFonts w:asciiTheme="minorHAnsi" w:hAnsiTheme="minorHAnsi" w:cs="Arial"/>
        </w:rPr>
        <w:t xml:space="preserve"> seltener als bei Vergleic</w:t>
      </w:r>
      <w:r w:rsidR="006B42DB">
        <w:rPr>
          <w:rFonts w:asciiTheme="minorHAnsi" w:hAnsiTheme="minorHAnsi" w:cs="Arial"/>
        </w:rPr>
        <w:t>hspräparaten beobachtet wurde</w:t>
      </w:r>
      <w:r w:rsidR="006B42DB" w:rsidRPr="00493DBC">
        <w:rPr>
          <w:rFonts w:asciiTheme="minorHAnsi" w:hAnsiTheme="minorHAnsi" w:cs="Arial"/>
        </w:rPr>
        <w:t>, das Risiko für anschließend auftretende I</w:t>
      </w:r>
      <w:r w:rsidR="006B42DB">
        <w:rPr>
          <w:rFonts w:asciiTheme="minorHAnsi" w:hAnsiTheme="minorHAnsi" w:cs="Arial"/>
        </w:rPr>
        <w:t xml:space="preserve">nfektionen sowie </w:t>
      </w:r>
      <w:proofErr w:type="spellStart"/>
      <w:r w:rsidR="006B42DB">
        <w:rPr>
          <w:rFonts w:asciiTheme="minorHAnsi" w:hAnsiTheme="minorHAnsi" w:cs="Arial"/>
        </w:rPr>
        <w:t>Serome</w:t>
      </w:r>
      <w:proofErr w:type="spellEnd"/>
      <w:r w:rsidR="006B42DB">
        <w:rPr>
          <w:rFonts w:asciiTheme="minorHAnsi" w:hAnsiTheme="minorHAnsi" w:cs="Arial"/>
        </w:rPr>
        <w:t xml:space="preserve"> erhöht (</w:t>
      </w:r>
      <w:r w:rsidR="006B42DB" w:rsidRPr="00493DBC">
        <w:rPr>
          <w:rFonts w:asciiTheme="minorHAnsi" w:hAnsiTheme="minorHAnsi" w:cs="Arial"/>
        </w:rPr>
        <w:t xml:space="preserve">Baker 2015, </w:t>
      </w:r>
      <w:r w:rsidR="006B42DB" w:rsidRPr="00AE015F">
        <w:rPr>
          <w:rFonts w:asciiTheme="minorHAnsi" w:hAnsiTheme="minorHAnsi" w:cs="Arial"/>
        </w:rPr>
        <w:t>Ban 2011</w:t>
      </w:r>
      <w:r w:rsidR="006B42DB">
        <w:rPr>
          <w:rFonts w:asciiTheme="minorHAnsi" w:hAnsiTheme="minorHAnsi" w:cs="Arial"/>
        </w:rPr>
        <w:t>, Wilke 2006</w:t>
      </w:r>
      <w:r w:rsidR="006B42DB" w:rsidRPr="00C57961">
        <w:rPr>
          <w:rFonts w:asciiTheme="minorHAnsi" w:hAnsiTheme="minorHAnsi" w:cs="Arial"/>
        </w:rPr>
        <w:t>).</w:t>
      </w:r>
      <w:r w:rsidR="00042E06">
        <w:rPr>
          <w:rFonts w:asciiTheme="minorHAnsi" w:hAnsiTheme="minorHAnsi" w:cs="Arial"/>
        </w:rPr>
        <w:t xml:space="preserve"> </w:t>
      </w:r>
      <w:r w:rsidRPr="00493DBC">
        <w:rPr>
          <w:rFonts w:asciiTheme="minorHAnsi" w:hAnsiTheme="minorHAnsi" w:cs="Arial"/>
        </w:rPr>
        <w:t>Zum anderen</w:t>
      </w:r>
      <w:r w:rsidR="006B42DB" w:rsidRPr="00493DBC">
        <w:rPr>
          <w:rFonts w:asciiTheme="minorHAnsi" w:hAnsiTheme="minorHAnsi" w:cs="Arial"/>
        </w:rPr>
        <w:t xml:space="preserve"> erlauben die im Vergleich zu anderen Präparaten besseren Testeigenschaften von [</w:t>
      </w:r>
      <w:r w:rsidR="006B42DB" w:rsidRPr="00493DBC">
        <w:rPr>
          <w:rFonts w:asciiTheme="minorHAnsi" w:hAnsiTheme="minorHAnsi" w:cs="Arial"/>
          <w:vertAlign w:val="superscript"/>
        </w:rPr>
        <w:t>99m</w:t>
      </w:r>
      <w:r w:rsidR="006B42DB" w:rsidRPr="00493DBC">
        <w:rPr>
          <w:rFonts w:asciiTheme="minorHAnsi" w:hAnsiTheme="minorHAnsi" w:cs="Arial"/>
        </w:rPr>
        <w:t>Tc]</w:t>
      </w:r>
      <w:r>
        <w:rPr>
          <w:rFonts w:asciiTheme="minorHAnsi" w:hAnsiTheme="minorHAnsi" w:cs="Arial"/>
        </w:rPr>
        <w:t xml:space="preserve"> </w:t>
      </w:r>
      <w:proofErr w:type="spellStart"/>
      <w:r w:rsidR="006B42DB" w:rsidRPr="00493DBC">
        <w:rPr>
          <w:rFonts w:asciiTheme="minorHAnsi" w:hAnsiTheme="minorHAnsi" w:cs="Arial"/>
        </w:rPr>
        <w:t>Tilmanocept</w:t>
      </w:r>
      <w:proofErr w:type="spellEnd"/>
      <w:r w:rsidR="006B42DB" w:rsidRPr="00493DBC">
        <w:rPr>
          <w:rFonts w:asciiTheme="minorHAnsi" w:hAnsiTheme="minorHAnsi" w:cs="Arial"/>
        </w:rPr>
        <w:t xml:space="preserve"> ein besseres </w:t>
      </w:r>
      <w:proofErr w:type="spellStart"/>
      <w:r w:rsidR="006B42DB" w:rsidRPr="00493DBC">
        <w:rPr>
          <w:rFonts w:asciiTheme="minorHAnsi" w:hAnsiTheme="minorHAnsi" w:cs="Arial"/>
        </w:rPr>
        <w:t>Staging</w:t>
      </w:r>
      <w:proofErr w:type="spellEnd"/>
      <w:r w:rsidR="006B42DB" w:rsidRPr="00493DBC">
        <w:rPr>
          <w:rFonts w:asciiTheme="minorHAnsi" w:hAnsiTheme="minorHAnsi" w:cs="Arial"/>
        </w:rPr>
        <w:t xml:space="preserve"> und daher eine bessere Abschätzung der Prognose bzw. ei</w:t>
      </w:r>
      <w:r w:rsidR="006B42DB">
        <w:rPr>
          <w:rFonts w:asciiTheme="minorHAnsi" w:hAnsiTheme="minorHAnsi" w:cs="Arial"/>
        </w:rPr>
        <w:t>ne adäquatere Therapieplanung (</w:t>
      </w:r>
      <w:proofErr w:type="spellStart"/>
      <w:r w:rsidR="006B42DB" w:rsidRPr="00493DBC">
        <w:rPr>
          <w:rFonts w:asciiTheme="minorHAnsi" w:hAnsiTheme="minorHAnsi" w:cs="Arial"/>
        </w:rPr>
        <w:t>Sondak</w:t>
      </w:r>
      <w:proofErr w:type="spellEnd"/>
      <w:r w:rsidR="006B42DB" w:rsidRPr="00493DBC">
        <w:rPr>
          <w:rFonts w:asciiTheme="minorHAnsi" w:hAnsiTheme="minorHAnsi" w:cs="Arial"/>
        </w:rPr>
        <w:t xml:space="preserve"> 2013).</w:t>
      </w:r>
    </w:p>
    <w:p w:rsidR="00042E06" w:rsidRDefault="00042E06" w:rsidP="00042E06">
      <w:pPr>
        <w:spacing w:line="276" w:lineRule="auto"/>
        <w:rPr>
          <w:rStyle w:val="label3"/>
          <w:rFonts w:asciiTheme="minorHAnsi" w:hAnsiTheme="minorHAnsi" w:cs="Arial"/>
        </w:rPr>
      </w:pPr>
    </w:p>
    <w:p w:rsidR="006A3F9F" w:rsidRPr="006A3F9F" w:rsidRDefault="006A3F9F" w:rsidP="00A447F5">
      <w:pPr>
        <w:pStyle w:val="TextkrperDossier"/>
        <w:spacing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Arzneimittel- und Methodeninformation</w:t>
      </w:r>
    </w:p>
    <w:p w:rsidR="000508A7" w:rsidRPr="000508A7" w:rsidRDefault="000508A7" w:rsidP="00A447F5">
      <w:pPr>
        <w:pStyle w:val="TextkrperDossier"/>
        <w:spacing w:line="276" w:lineRule="auto"/>
        <w:rPr>
          <w:rFonts w:asciiTheme="minorHAnsi" w:hAnsiTheme="minorHAnsi" w:cs="Calibri"/>
        </w:rPr>
      </w:pPr>
      <w:r w:rsidRPr="000508A7">
        <w:rPr>
          <w:rFonts w:asciiTheme="minorHAnsi" w:hAnsiTheme="minorHAnsi" w:cs="Calibri"/>
        </w:rPr>
        <w:t xml:space="preserve">Bei 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="006178AE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6178AE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6178AE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6178AE">
        <w:rPr>
          <w:rFonts w:asciiTheme="minorHAnsi" w:hAnsiTheme="minorHAnsi" w:cs="Arial"/>
        </w:rPr>
        <w:t>T</w:t>
      </w:r>
      <w:r w:rsidR="006178AE" w:rsidRPr="000508A7">
        <w:rPr>
          <w:rFonts w:asciiTheme="minorHAnsi" w:hAnsiTheme="minorHAnsi" w:cs="Arial"/>
        </w:rPr>
        <w:t>ilmanocept</w:t>
      </w:r>
      <w:proofErr w:type="spellEnd"/>
      <w:r w:rsidR="006178AE" w:rsidRPr="006178AE">
        <w:rPr>
          <w:rFonts w:asciiTheme="minorHAnsi" w:hAnsiTheme="minorHAnsi" w:cs="Arial"/>
        </w:rPr>
        <w:t>)</w:t>
      </w:r>
      <w:r w:rsidR="006178AE" w:rsidRPr="006178AE">
        <w:rPr>
          <w:rStyle w:val="label3"/>
          <w:rFonts w:asciiTheme="minorHAnsi" w:hAnsiTheme="minorHAnsi" w:cs="Arial"/>
          <w:specVanish w:val="0"/>
        </w:rPr>
        <w:t xml:space="preserve"> </w:t>
      </w:r>
      <w:r w:rsidRPr="006178AE">
        <w:rPr>
          <w:rFonts w:asciiTheme="minorHAnsi" w:hAnsiTheme="minorHAnsi" w:cs="Calibri"/>
        </w:rPr>
        <w:t>h</w:t>
      </w:r>
      <w:r w:rsidR="006178AE">
        <w:rPr>
          <w:rFonts w:asciiTheme="minorHAnsi" w:hAnsiTheme="minorHAnsi" w:cs="Calibri"/>
        </w:rPr>
        <w:t xml:space="preserve">andelt es sich um einen Kit zur Herstellung eines </w:t>
      </w:r>
      <w:r w:rsidRPr="000508A7">
        <w:rPr>
          <w:rFonts w:asciiTheme="minorHAnsi" w:hAnsiTheme="minorHAnsi" w:cs="Calibri"/>
        </w:rPr>
        <w:t xml:space="preserve">Radiodiagnostikum, das </w:t>
      </w:r>
      <w:r w:rsidR="006178AE">
        <w:rPr>
          <w:rFonts w:asciiTheme="minorHAnsi" w:hAnsiTheme="minorHAnsi" w:cs="Calibri"/>
        </w:rPr>
        <w:t xml:space="preserve">nach radioaktiver Markierung </w:t>
      </w:r>
      <w:r w:rsidRPr="000508A7">
        <w:rPr>
          <w:rFonts w:asciiTheme="minorHAnsi" w:hAnsiTheme="minorHAnsi" w:cs="Calibri"/>
        </w:rPr>
        <w:t xml:space="preserve">zur Bildgebung bei der intraoperativen </w:t>
      </w:r>
      <w:r w:rsidR="000816A7">
        <w:rPr>
          <w:rFonts w:asciiTheme="minorHAnsi" w:hAnsiTheme="minorHAnsi" w:cs="Calibri"/>
        </w:rPr>
        <w:t>Detektion von Wächter</w:t>
      </w:r>
      <w:r w:rsidR="00184920">
        <w:rPr>
          <w:rFonts w:asciiTheme="minorHAnsi" w:hAnsiTheme="minorHAnsi" w:cs="Calibri"/>
        </w:rPr>
        <w:t xml:space="preserve"> </w:t>
      </w:r>
      <w:r w:rsidR="000816A7">
        <w:rPr>
          <w:rFonts w:asciiTheme="minorHAnsi" w:hAnsiTheme="minorHAnsi" w:cs="Calibri"/>
        </w:rPr>
        <w:t>(Sentinel)-L</w:t>
      </w:r>
      <w:r w:rsidRPr="000508A7">
        <w:rPr>
          <w:rFonts w:asciiTheme="minorHAnsi" w:hAnsiTheme="minorHAnsi" w:cs="Calibri"/>
        </w:rPr>
        <w:t>ymphknoten (SLN) im Lymphabflussgebiet von primären Tumoren bei Erwachsenen mit Mammakarzinom, Melanom oder lokalisiertem Plattenepithelkarzinom der Mundhöhle eingesetzt</w:t>
      </w:r>
      <w:r w:rsidR="00C57961">
        <w:rPr>
          <w:rFonts w:asciiTheme="minorHAnsi" w:hAnsiTheme="minorHAnsi" w:cs="Calibri"/>
        </w:rPr>
        <w:t xml:space="preserve"> wird</w:t>
      </w:r>
      <w:r w:rsidRPr="000508A7">
        <w:rPr>
          <w:rFonts w:asciiTheme="minorHAnsi" w:hAnsiTheme="minorHAnsi" w:cs="Calibri"/>
        </w:rPr>
        <w:t xml:space="preserve">. Radiodiagnostika stellen eine Arzneimittelgruppe dar, die nicht wie andere </w:t>
      </w:r>
      <w:r w:rsidR="00D779C6">
        <w:rPr>
          <w:rFonts w:asciiTheme="minorHAnsi" w:hAnsiTheme="minorHAnsi" w:cs="Calibri"/>
        </w:rPr>
        <w:t>bildgebende</w:t>
      </w:r>
      <w:r w:rsidRPr="000508A7">
        <w:rPr>
          <w:rFonts w:asciiTheme="minorHAnsi" w:hAnsiTheme="minorHAnsi" w:cs="Calibri"/>
        </w:rPr>
        <w:t xml:space="preserve"> Techniken der morphologischen Darstellung dienen, sondern die (</w:t>
      </w:r>
      <w:proofErr w:type="spellStart"/>
      <w:r w:rsidRPr="000508A7">
        <w:rPr>
          <w:rFonts w:asciiTheme="minorHAnsi" w:hAnsiTheme="minorHAnsi" w:cs="Calibri"/>
        </w:rPr>
        <w:t>patho</w:t>
      </w:r>
      <w:proofErr w:type="spellEnd"/>
      <w:r w:rsidR="006A16F0">
        <w:rPr>
          <w:rFonts w:asciiTheme="minorHAnsi" w:hAnsiTheme="minorHAnsi" w:cs="Calibri"/>
        </w:rPr>
        <w:t>-</w:t>
      </w:r>
      <w:r w:rsidRPr="000508A7">
        <w:rPr>
          <w:rFonts w:asciiTheme="minorHAnsi" w:hAnsiTheme="minorHAnsi" w:cs="Calibri"/>
        </w:rPr>
        <w:t>)physiologische</w:t>
      </w:r>
      <w:r w:rsidR="00D779C6">
        <w:rPr>
          <w:rFonts w:asciiTheme="minorHAnsi" w:hAnsiTheme="minorHAnsi" w:cs="Calibri"/>
        </w:rPr>
        <w:t>n</w:t>
      </w:r>
      <w:r w:rsidRPr="000508A7">
        <w:rPr>
          <w:rFonts w:asciiTheme="minorHAnsi" w:hAnsiTheme="minorHAnsi" w:cs="Calibri"/>
        </w:rPr>
        <w:t xml:space="preserve"> Vorgänge abbilden </w:t>
      </w:r>
      <w:r w:rsidR="00432FA8" w:rsidRPr="00432FA8">
        <w:rPr>
          <w:rFonts w:asciiTheme="minorHAnsi" w:hAnsiTheme="minorHAnsi" w:cs="Calibri"/>
        </w:rPr>
        <w:t>(</w:t>
      </w:r>
      <w:proofErr w:type="spellStart"/>
      <w:r w:rsidRPr="00432FA8">
        <w:rPr>
          <w:rFonts w:asciiTheme="minorHAnsi" w:hAnsiTheme="minorHAnsi" w:cs="Calibri"/>
        </w:rPr>
        <w:t>Schirbel</w:t>
      </w:r>
      <w:proofErr w:type="spellEnd"/>
      <w:r w:rsidRPr="00432FA8">
        <w:rPr>
          <w:rFonts w:asciiTheme="minorHAnsi" w:hAnsiTheme="minorHAnsi" w:cs="Calibri"/>
        </w:rPr>
        <w:t xml:space="preserve"> 2006</w:t>
      </w:r>
      <w:r w:rsidRPr="000508A7">
        <w:rPr>
          <w:rFonts w:asciiTheme="minorHAnsi" w:hAnsiTheme="minorHAnsi" w:cs="Calibri"/>
        </w:rPr>
        <w:t>)</w:t>
      </w:r>
      <w:r w:rsidRPr="000508A7">
        <w:rPr>
          <w:rFonts w:asciiTheme="minorHAnsi" w:hAnsiTheme="minorHAnsi" w:cs="Calibri"/>
          <w:i/>
        </w:rPr>
        <w:t xml:space="preserve">. </w:t>
      </w:r>
      <w:r w:rsidRPr="000508A7">
        <w:rPr>
          <w:rFonts w:asciiTheme="minorHAnsi" w:hAnsiTheme="minorHAnsi" w:cs="Calibri"/>
        </w:rPr>
        <w:t>Mit der SLN-Szintigraphie werden Wächterlymphknoten markiert und identifiziert um sie anschließend gezielt zur histologischen Untersuchung auf Krebszellen zu entnehmen.</w:t>
      </w:r>
      <w:r w:rsidR="002D6386">
        <w:rPr>
          <w:rFonts w:asciiTheme="minorHAnsi" w:hAnsiTheme="minorHAnsi" w:cs="Calibri"/>
        </w:rPr>
        <w:t xml:space="preserve"> </w:t>
      </w:r>
    </w:p>
    <w:p w:rsidR="000408E0" w:rsidRDefault="008052DE" w:rsidP="00493DBC">
      <w:pPr>
        <w:pStyle w:val="TextkrperDossier"/>
        <w:spacing w:line="276" w:lineRule="auto"/>
        <w:rPr>
          <w:rFonts w:asciiTheme="minorHAnsi" w:hAnsiTheme="minorHAnsi" w:cs="Calibri"/>
        </w:rPr>
      </w:pPr>
      <w:r>
        <w:rPr>
          <w:rStyle w:val="label3"/>
          <w:rFonts w:asciiTheme="minorHAnsi" w:hAnsiTheme="minorHAnsi" w:cs="Arial"/>
          <w:specVanish w:val="0"/>
        </w:rPr>
        <w:t>LYMPHOSEEK</w:t>
      </w:r>
      <w:r w:rsidR="006178AE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6178AE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6178AE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6178AE">
        <w:rPr>
          <w:rFonts w:asciiTheme="minorHAnsi" w:hAnsiTheme="minorHAnsi" w:cs="Arial"/>
        </w:rPr>
        <w:t>T</w:t>
      </w:r>
      <w:r w:rsidR="006178AE" w:rsidRPr="000508A7">
        <w:rPr>
          <w:rFonts w:asciiTheme="minorHAnsi" w:hAnsiTheme="minorHAnsi" w:cs="Arial"/>
        </w:rPr>
        <w:t>ilmanocept</w:t>
      </w:r>
      <w:proofErr w:type="spellEnd"/>
      <w:r w:rsidR="006178AE" w:rsidRPr="006178AE">
        <w:rPr>
          <w:rFonts w:asciiTheme="minorHAnsi" w:hAnsiTheme="minorHAnsi" w:cs="Arial"/>
        </w:rPr>
        <w:t>)</w:t>
      </w:r>
      <w:r w:rsidR="006178AE" w:rsidRPr="006178AE">
        <w:rPr>
          <w:rStyle w:val="label3"/>
          <w:rFonts w:asciiTheme="minorHAnsi" w:hAnsiTheme="minorHAnsi" w:cs="Arial"/>
          <w:specVanish w:val="0"/>
        </w:rPr>
        <w:t xml:space="preserve"> </w:t>
      </w:r>
      <w:r w:rsidR="00334DA9">
        <w:rPr>
          <w:rStyle w:val="label3"/>
          <w:rFonts w:asciiTheme="minorHAnsi" w:hAnsiTheme="minorHAnsi" w:cs="Arial"/>
          <w:specVanish w:val="0"/>
        </w:rPr>
        <w:t>stellt ein ne</w:t>
      </w:r>
      <w:r w:rsidR="000408E0">
        <w:rPr>
          <w:rStyle w:val="label3"/>
          <w:rFonts w:asciiTheme="minorHAnsi" w:hAnsiTheme="minorHAnsi" w:cs="Arial"/>
          <w:specVanish w:val="0"/>
        </w:rPr>
        <w:t xml:space="preserve">uartiges Radiodiagnostikum dar und </w:t>
      </w:r>
      <w:r w:rsidR="000508A7" w:rsidRPr="000508A7">
        <w:rPr>
          <w:rFonts w:asciiTheme="minorHAnsi" w:hAnsiTheme="minorHAnsi" w:cs="Calibri"/>
        </w:rPr>
        <w:t xml:space="preserve">wird vor der Anwendung mit </w:t>
      </w:r>
      <w:proofErr w:type="spellStart"/>
      <w:r w:rsidR="000508A7" w:rsidRPr="000508A7">
        <w:rPr>
          <w:rFonts w:asciiTheme="minorHAnsi" w:hAnsiTheme="minorHAnsi" w:cs="Calibri"/>
        </w:rPr>
        <w:t>Natriumpertechnetat</w:t>
      </w:r>
      <w:proofErr w:type="spellEnd"/>
      <w:r w:rsidR="000508A7" w:rsidRPr="000508A7">
        <w:rPr>
          <w:rFonts w:asciiTheme="minorHAnsi" w:hAnsiTheme="minorHAnsi" w:cs="Calibri"/>
        </w:rPr>
        <w:t xml:space="preserve">, das </w:t>
      </w:r>
      <w:r w:rsidR="000508A7" w:rsidRPr="0060063E">
        <w:rPr>
          <w:rFonts w:asciiTheme="minorHAnsi" w:hAnsiTheme="minorHAnsi" w:cs="Calibri"/>
        </w:rPr>
        <w:t>Technetium-99m enthält, radioaktiv markiert</w:t>
      </w:r>
      <w:r w:rsidR="00C57961" w:rsidRPr="0060063E">
        <w:rPr>
          <w:rFonts w:asciiTheme="minorHAnsi" w:hAnsiTheme="minorHAnsi" w:cs="Calibri"/>
        </w:rPr>
        <w:t>.</w:t>
      </w:r>
      <w:r w:rsidR="00D779C6">
        <w:rPr>
          <w:rFonts w:asciiTheme="minorHAnsi" w:hAnsiTheme="minorHAnsi" w:cs="Calibri"/>
        </w:rPr>
        <w:t xml:space="preserve"> </w:t>
      </w:r>
      <w:r>
        <w:rPr>
          <w:rStyle w:val="label3"/>
          <w:rFonts w:asciiTheme="minorHAnsi" w:hAnsiTheme="minorHAnsi" w:cs="Arial"/>
          <w:specVanish w:val="0"/>
        </w:rPr>
        <w:t>LYMPHOSEEK</w:t>
      </w:r>
      <w:r w:rsidR="000408E0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0408E0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0408E0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0408E0">
        <w:rPr>
          <w:rFonts w:asciiTheme="minorHAnsi" w:hAnsiTheme="minorHAnsi" w:cs="Arial"/>
        </w:rPr>
        <w:t>T</w:t>
      </w:r>
      <w:r w:rsidR="000408E0" w:rsidRPr="000508A7">
        <w:rPr>
          <w:rFonts w:asciiTheme="minorHAnsi" w:hAnsiTheme="minorHAnsi" w:cs="Arial"/>
        </w:rPr>
        <w:t>ilmanocept</w:t>
      </w:r>
      <w:proofErr w:type="spellEnd"/>
      <w:r w:rsidR="000408E0" w:rsidRPr="006178AE">
        <w:rPr>
          <w:rFonts w:asciiTheme="minorHAnsi" w:hAnsiTheme="minorHAnsi" w:cs="Arial"/>
        </w:rPr>
        <w:t>)</w:t>
      </w:r>
      <w:r w:rsidR="000408E0">
        <w:rPr>
          <w:rFonts w:asciiTheme="minorHAnsi" w:hAnsiTheme="minorHAnsi" w:cs="Arial"/>
        </w:rPr>
        <w:t xml:space="preserve"> wird nach der Markierung</w:t>
      </w:r>
      <w:r w:rsidR="000408E0" w:rsidRPr="0060063E">
        <w:rPr>
          <w:rFonts w:asciiTheme="minorHAnsi" w:hAnsiTheme="minorHAnsi" w:cs="Calibri"/>
        </w:rPr>
        <w:t xml:space="preserve"> in Abhängigkeit der Indikation intradermal, subkutan, </w:t>
      </w:r>
      <w:proofErr w:type="spellStart"/>
      <w:r w:rsidR="000408E0" w:rsidRPr="0060063E">
        <w:rPr>
          <w:rFonts w:asciiTheme="minorHAnsi" w:hAnsiTheme="minorHAnsi" w:cs="Calibri"/>
        </w:rPr>
        <w:t>intratumoral</w:t>
      </w:r>
      <w:proofErr w:type="spellEnd"/>
      <w:r w:rsidR="000408E0" w:rsidRPr="0060063E">
        <w:rPr>
          <w:rFonts w:asciiTheme="minorHAnsi" w:hAnsiTheme="minorHAnsi" w:cs="Calibri"/>
        </w:rPr>
        <w:t xml:space="preserve"> oder </w:t>
      </w:r>
      <w:proofErr w:type="spellStart"/>
      <w:r w:rsidR="000408E0" w:rsidRPr="0060063E">
        <w:rPr>
          <w:rFonts w:asciiTheme="minorHAnsi" w:hAnsiTheme="minorHAnsi" w:cs="Calibri"/>
        </w:rPr>
        <w:t>peritumoral</w:t>
      </w:r>
      <w:proofErr w:type="spellEnd"/>
      <w:r w:rsidR="000408E0" w:rsidRPr="0060063E">
        <w:rPr>
          <w:rFonts w:asciiTheme="minorHAnsi" w:hAnsiTheme="minorHAnsi" w:cs="Calibri"/>
        </w:rPr>
        <w:t xml:space="preserve"> </w:t>
      </w:r>
      <w:r w:rsidR="000408E0">
        <w:rPr>
          <w:rFonts w:asciiTheme="minorHAnsi" w:hAnsiTheme="minorHAnsi" w:cs="Calibri"/>
        </w:rPr>
        <w:t>z</w:t>
      </w:r>
      <w:r>
        <w:rPr>
          <w:rFonts w:asciiTheme="minorHAnsi" w:hAnsiTheme="minorHAnsi" w:cs="Calibri"/>
        </w:rPr>
        <w:t>ur Detektion der SLN injiziert.</w:t>
      </w:r>
    </w:p>
    <w:p w:rsidR="000508A7" w:rsidRPr="0060063E" w:rsidRDefault="00C57961" w:rsidP="00493DBC">
      <w:pPr>
        <w:pStyle w:val="TextkrperDossier"/>
        <w:spacing w:line="276" w:lineRule="auto"/>
        <w:rPr>
          <w:rFonts w:asciiTheme="minorHAnsi" w:hAnsiTheme="minorHAnsi" w:cs="Calibri"/>
        </w:rPr>
      </w:pPr>
      <w:r w:rsidRPr="0060063E">
        <w:rPr>
          <w:rFonts w:asciiTheme="minorHAnsi" w:hAnsiTheme="minorHAnsi" w:cs="Arial"/>
        </w:rPr>
        <w:t>[</w:t>
      </w:r>
      <w:r w:rsidRPr="0060063E">
        <w:rPr>
          <w:rFonts w:asciiTheme="minorHAnsi" w:hAnsiTheme="minorHAnsi" w:cs="Arial"/>
          <w:vertAlign w:val="superscript"/>
        </w:rPr>
        <w:t>99m</w:t>
      </w:r>
      <w:r w:rsidRPr="0060063E">
        <w:rPr>
          <w:rFonts w:asciiTheme="minorHAnsi" w:hAnsiTheme="minorHAnsi" w:cs="Arial"/>
        </w:rPr>
        <w:t>Tc]</w:t>
      </w:r>
      <w:r w:rsidR="00184920">
        <w:rPr>
          <w:rFonts w:asciiTheme="minorHAnsi" w:hAnsiTheme="minorHAnsi" w:cs="Arial"/>
        </w:rPr>
        <w:t xml:space="preserve"> </w:t>
      </w:r>
      <w:proofErr w:type="spellStart"/>
      <w:r w:rsidRPr="0060063E">
        <w:rPr>
          <w:rFonts w:asciiTheme="minorHAnsi" w:hAnsiTheme="minorHAnsi" w:cs="Arial"/>
        </w:rPr>
        <w:t>Tilmanocept</w:t>
      </w:r>
      <w:proofErr w:type="spellEnd"/>
      <w:r w:rsidRPr="0060063E">
        <w:rPr>
          <w:rFonts w:asciiTheme="minorHAnsi" w:hAnsiTheme="minorHAnsi" w:cs="Arial"/>
        </w:rPr>
        <w:t xml:space="preserve"> </w:t>
      </w:r>
      <w:r w:rsidR="000508A7" w:rsidRPr="0060063E">
        <w:rPr>
          <w:rFonts w:asciiTheme="minorHAnsi" w:hAnsiTheme="minorHAnsi" w:cs="Calibri"/>
        </w:rPr>
        <w:t xml:space="preserve">reichert sich in den Wächterlymphknoten an, indem es spezifisch an Mannose-bindende Rezeptorproteine (CD206) bindet. Diese befinden sich an der Oberfläche von </w:t>
      </w:r>
      <w:r w:rsidR="008052DE">
        <w:rPr>
          <w:rFonts w:asciiTheme="minorHAnsi" w:hAnsiTheme="minorHAnsi" w:cs="Calibri"/>
        </w:rPr>
        <w:t xml:space="preserve">Rezeptoren auf </w:t>
      </w:r>
      <w:r w:rsidR="000508A7" w:rsidRPr="0060063E">
        <w:rPr>
          <w:rFonts w:asciiTheme="minorHAnsi" w:hAnsiTheme="minorHAnsi" w:cs="Calibri"/>
        </w:rPr>
        <w:t xml:space="preserve">Makrophagen, die in hoher Konzentration in Lymphknoten vorkommen. </w:t>
      </w:r>
      <w:r w:rsidR="000408E0">
        <w:rPr>
          <w:rFonts w:asciiTheme="minorHAnsi" w:hAnsiTheme="minorHAnsi" w:cs="Calibri"/>
        </w:rPr>
        <w:t xml:space="preserve">Mittels einer </w:t>
      </w:r>
      <w:proofErr w:type="spellStart"/>
      <w:r w:rsidR="000408E0">
        <w:rPr>
          <w:rFonts w:asciiTheme="minorHAnsi" w:hAnsiTheme="minorHAnsi" w:cs="Calibri"/>
        </w:rPr>
        <w:t>szintigraphischen</w:t>
      </w:r>
      <w:proofErr w:type="spellEnd"/>
      <w:r w:rsidR="000408E0">
        <w:rPr>
          <w:rFonts w:asciiTheme="minorHAnsi" w:hAnsiTheme="minorHAnsi" w:cs="Calibri"/>
        </w:rPr>
        <w:t xml:space="preserve"> Untersuchung (</w:t>
      </w:r>
      <w:r w:rsidR="000408E0" w:rsidRPr="0060063E">
        <w:rPr>
          <w:rFonts w:asciiTheme="minorHAnsi" w:hAnsiTheme="minorHAnsi" w:cs="Calibri"/>
        </w:rPr>
        <w:t>stationären Gammakamera oder computertomographisch mit einem Gammastrahlendetektionsgerät</w:t>
      </w:r>
      <w:r w:rsidR="000408E0">
        <w:rPr>
          <w:rFonts w:asciiTheme="minorHAnsi" w:hAnsiTheme="minorHAnsi" w:cs="Calibri"/>
        </w:rPr>
        <w:t>) erfolgt die Detektion der Wächterlymphknoten in denen sich das</w:t>
      </w:r>
      <w:r w:rsidR="000508A7" w:rsidRPr="0060063E">
        <w:rPr>
          <w:rFonts w:asciiTheme="minorHAnsi" w:hAnsiTheme="minorHAnsi" w:cs="Calibri"/>
        </w:rPr>
        <w:t xml:space="preserve"> radioaktive </w:t>
      </w:r>
      <w:r w:rsidRPr="0060063E">
        <w:rPr>
          <w:rFonts w:asciiTheme="minorHAnsi" w:hAnsiTheme="minorHAnsi" w:cs="Arial"/>
        </w:rPr>
        <w:t>[</w:t>
      </w:r>
      <w:r w:rsidRPr="0060063E">
        <w:rPr>
          <w:rFonts w:asciiTheme="minorHAnsi" w:hAnsiTheme="minorHAnsi" w:cs="Arial"/>
          <w:vertAlign w:val="superscript"/>
        </w:rPr>
        <w:t>99m</w:t>
      </w:r>
      <w:r w:rsidRPr="0060063E">
        <w:rPr>
          <w:rFonts w:asciiTheme="minorHAnsi" w:hAnsiTheme="minorHAnsi" w:cs="Arial"/>
        </w:rPr>
        <w:t>Tc]</w:t>
      </w:r>
      <w:r w:rsidR="00184920">
        <w:rPr>
          <w:rFonts w:asciiTheme="minorHAnsi" w:hAnsiTheme="minorHAnsi" w:cs="Arial"/>
        </w:rPr>
        <w:t xml:space="preserve"> </w:t>
      </w:r>
      <w:proofErr w:type="spellStart"/>
      <w:r w:rsidRPr="0060063E">
        <w:rPr>
          <w:rFonts w:asciiTheme="minorHAnsi" w:hAnsiTheme="minorHAnsi" w:cs="Arial"/>
        </w:rPr>
        <w:t>Tilmanocept</w:t>
      </w:r>
      <w:proofErr w:type="spellEnd"/>
      <w:r w:rsidRPr="0060063E">
        <w:rPr>
          <w:rFonts w:asciiTheme="minorHAnsi" w:hAnsiTheme="minorHAnsi" w:cs="Arial"/>
        </w:rPr>
        <w:t xml:space="preserve"> </w:t>
      </w:r>
      <w:r w:rsidR="000408E0">
        <w:rPr>
          <w:rFonts w:asciiTheme="minorHAnsi" w:hAnsiTheme="minorHAnsi" w:cs="Calibri"/>
        </w:rPr>
        <w:t>angereichert hat</w:t>
      </w:r>
      <w:r w:rsidR="000508A7" w:rsidRPr="0060063E">
        <w:rPr>
          <w:rFonts w:asciiTheme="minorHAnsi" w:hAnsiTheme="minorHAnsi" w:cs="Calibri"/>
        </w:rPr>
        <w:t>. Die detektierten Wächterlymphknoten können somit selektiv entfernt und untersucht werden.</w:t>
      </w:r>
    </w:p>
    <w:p w:rsidR="00D6347C" w:rsidRDefault="000508A7" w:rsidP="00493DBC">
      <w:pPr>
        <w:pStyle w:val="TextkrperDossier"/>
        <w:spacing w:line="276" w:lineRule="auto"/>
        <w:rPr>
          <w:rFonts w:asciiTheme="minorHAnsi" w:hAnsiTheme="minorHAnsi" w:cs="Calibri"/>
        </w:rPr>
      </w:pPr>
      <w:r w:rsidRPr="0060063E">
        <w:rPr>
          <w:rFonts w:asciiTheme="minorHAnsi" w:hAnsiTheme="minorHAnsi" w:cs="Calibri"/>
        </w:rPr>
        <w:t xml:space="preserve">Die Injektion der </w:t>
      </w:r>
      <w:r w:rsidR="00432FA8" w:rsidRPr="0060063E">
        <w:rPr>
          <w:rFonts w:asciiTheme="minorHAnsi" w:hAnsiTheme="minorHAnsi" w:cs="Arial"/>
        </w:rPr>
        <w:t>[</w:t>
      </w:r>
      <w:r w:rsidR="00432FA8" w:rsidRPr="0060063E">
        <w:rPr>
          <w:rFonts w:asciiTheme="minorHAnsi" w:hAnsiTheme="minorHAnsi" w:cs="Arial"/>
          <w:vertAlign w:val="superscript"/>
        </w:rPr>
        <w:t>99m</w:t>
      </w:r>
      <w:r w:rsidR="002A1628">
        <w:rPr>
          <w:rFonts w:asciiTheme="minorHAnsi" w:hAnsiTheme="minorHAnsi" w:cs="Arial"/>
        </w:rPr>
        <w:t>Tc]</w:t>
      </w:r>
      <w:r w:rsidR="00184920">
        <w:rPr>
          <w:rFonts w:asciiTheme="minorHAnsi" w:hAnsiTheme="minorHAnsi" w:cs="Arial"/>
        </w:rPr>
        <w:t xml:space="preserve"> </w:t>
      </w:r>
      <w:proofErr w:type="spellStart"/>
      <w:r w:rsidR="002A1628">
        <w:rPr>
          <w:rFonts w:asciiTheme="minorHAnsi" w:hAnsiTheme="minorHAnsi" w:cs="Arial"/>
        </w:rPr>
        <w:t>Tilmanocept</w:t>
      </w:r>
      <w:proofErr w:type="spellEnd"/>
      <w:r w:rsidR="002A1628">
        <w:rPr>
          <w:rFonts w:asciiTheme="minorHAnsi" w:hAnsiTheme="minorHAnsi" w:cs="Arial"/>
        </w:rPr>
        <w:t>-</w:t>
      </w:r>
      <w:r w:rsidRPr="0060063E">
        <w:rPr>
          <w:rFonts w:asciiTheme="minorHAnsi" w:hAnsiTheme="minorHAnsi" w:cs="Calibri"/>
        </w:rPr>
        <w:t xml:space="preserve">Mischung kann je nach applizierter radioaktiver Aktivität innerhalb von 15 bzw. 30 Stunden vor dem geplanten Eingriff erfolgen. Mit dem </w:t>
      </w:r>
      <w:r w:rsidRPr="0060063E">
        <w:rPr>
          <w:rFonts w:asciiTheme="minorHAnsi" w:hAnsiTheme="minorHAnsi" w:cs="Calibri"/>
        </w:rPr>
        <w:lastRenderedPageBreak/>
        <w:t xml:space="preserve">intraoperativen Mapping der Lymphknoten, d.h. der Darstellung des funktionellen </w:t>
      </w:r>
      <w:proofErr w:type="spellStart"/>
      <w:r w:rsidRPr="0060063E">
        <w:rPr>
          <w:rFonts w:asciiTheme="minorHAnsi" w:hAnsiTheme="minorHAnsi" w:cs="Calibri"/>
        </w:rPr>
        <w:t>Lymphabstromes</w:t>
      </w:r>
      <w:proofErr w:type="spellEnd"/>
      <w:r w:rsidRPr="0060063E">
        <w:rPr>
          <w:rFonts w:asciiTheme="minorHAnsi" w:hAnsiTheme="minorHAnsi" w:cs="Calibri"/>
        </w:rPr>
        <w:t xml:space="preserve"> eines Tumorareals, kann bereits 15 Minuten </w:t>
      </w:r>
      <w:r w:rsidR="008052DE">
        <w:rPr>
          <w:rFonts w:asciiTheme="minorHAnsi" w:hAnsiTheme="minorHAnsi" w:cs="Calibri"/>
        </w:rPr>
        <w:t>nach Injektion begonnen werden.</w:t>
      </w:r>
    </w:p>
    <w:p w:rsidR="008052DE" w:rsidRPr="00493DBC" w:rsidRDefault="008052DE" w:rsidP="00493DBC">
      <w:pPr>
        <w:pStyle w:val="TextkrperDossier"/>
        <w:spacing w:line="276" w:lineRule="auto"/>
        <w:rPr>
          <w:rFonts w:asciiTheme="minorHAnsi" w:hAnsiTheme="minorHAnsi" w:cs="Calibri"/>
        </w:rPr>
      </w:pPr>
      <w:r w:rsidRPr="008052DE">
        <w:rPr>
          <w:rFonts w:asciiTheme="minorHAnsi" w:hAnsiTheme="minorHAnsi" w:cs="Calibri"/>
        </w:rPr>
        <w:t xml:space="preserve">LYMPHOSEEK ist eine eingetragene Marke der </w:t>
      </w:r>
      <w:proofErr w:type="spellStart"/>
      <w:r w:rsidRPr="008052DE">
        <w:rPr>
          <w:rFonts w:asciiTheme="minorHAnsi" w:hAnsiTheme="minorHAnsi" w:cs="Calibri"/>
        </w:rPr>
        <w:t>Navidea</w:t>
      </w:r>
      <w:proofErr w:type="spellEnd"/>
      <w:r w:rsidRPr="008052DE">
        <w:rPr>
          <w:rFonts w:asciiTheme="minorHAnsi" w:hAnsiTheme="minorHAnsi" w:cs="Calibri"/>
        </w:rPr>
        <w:t xml:space="preserve"> </w:t>
      </w:r>
      <w:proofErr w:type="spellStart"/>
      <w:r w:rsidRPr="008052DE">
        <w:rPr>
          <w:rFonts w:asciiTheme="minorHAnsi" w:hAnsiTheme="minorHAnsi" w:cs="Calibri"/>
        </w:rPr>
        <w:t>Biopharmaceuticals</w:t>
      </w:r>
      <w:proofErr w:type="spellEnd"/>
      <w:r w:rsidRPr="008052DE">
        <w:rPr>
          <w:rFonts w:asciiTheme="minorHAnsi" w:hAnsiTheme="minorHAnsi" w:cs="Calibri"/>
        </w:rPr>
        <w:t xml:space="preserve">, Inc., lizenziert an die </w:t>
      </w:r>
      <w:proofErr w:type="spellStart"/>
      <w:r w:rsidRPr="008052DE">
        <w:rPr>
          <w:rFonts w:asciiTheme="minorHAnsi" w:hAnsiTheme="minorHAnsi" w:cs="Calibri"/>
        </w:rPr>
        <w:t>SpePharmUnternehmensgruppe</w:t>
      </w:r>
      <w:proofErr w:type="spellEnd"/>
      <w:r w:rsidRPr="008052DE">
        <w:rPr>
          <w:rFonts w:asciiTheme="minorHAnsi" w:hAnsiTheme="minorHAnsi" w:cs="Calibri"/>
        </w:rPr>
        <w:t>.</w:t>
      </w:r>
    </w:p>
    <w:p w:rsidR="00835A1E" w:rsidRDefault="00493DBC" w:rsidP="006B42D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1B30EC">
        <w:rPr>
          <w:rFonts w:asciiTheme="minorHAnsi" w:hAnsiTheme="minorHAnsi" w:cs="Arial"/>
          <w:u w:val="single"/>
          <w:lang w:val="da-DK"/>
        </w:rPr>
        <w:t>Quellen</w:t>
      </w:r>
      <w:r w:rsidR="00582D1B">
        <w:rPr>
          <w:rFonts w:asciiTheme="minorHAnsi" w:hAnsiTheme="minorHAnsi" w:cs="Arial"/>
          <w:lang w:val="da-DK"/>
        </w:rPr>
        <w:t>:</w:t>
      </w:r>
    </w:p>
    <w:p w:rsidR="00582D1B" w:rsidRDefault="00582D1B" w:rsidP="006B42DB">
      <w:pPr>
        <w:spacing w:line="276" w:lineRule="auto"/>
        <w:outlineLvl w:val="0"/>
        <w:rPr>
          <w:rFonts w:asciiTheme="minorHAnsi" w:hAnsiTheme="minorHAnsi" w:cs="Arial"/>
          <w:lang w:val="da-DK"/>
        </w:rPr>
      </w:pP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Agrawal A</w:t>
      </w:r>
      <w:r w:rsidR="005D7050">
        <w:rPr>
          <w:rFonts w:asciiTheme="minorHAnsi" w:hAnsiTheme="minorHAnsi" w:cs="Arial"/>
          <w:lang w:val="da-DK"/>
        </w:rPr>
        <w:t>,</w:t>
      </w:r>
      <w:r w:rsidRPr="00582D1B">
        <w:rPr>
          <w:rFonts w:asciiTheme="minorHAnsi" w:hAnsiTheme="minorHAnsi" w:cs="Arial"/>
          <w:lang w:val="da-DK"/>
        </w:rPr>
        <w:t xml:space="preserve"> et al. (2015): Ann Surg Oncol; 22(11): 3708-15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Azad AK, et al. (2015)</w:t>
      </w:r>
      <w:r w:rsidR="005D7050"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J Immunol 2015; 195(5): 2019-2029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Baker J</w:t>
      </w:r>
      <w:r w:rsidR="005D7050">
        <w:rPr>
          <w:rFonts w:asciiTheme="minorHAnsi" w:hAnsiTheme="minorHAnsi" w:cs="Arial"/>
          <w:lang w:val="da-DK"/>
        </w:rPr>
        <w:t>L,</w:t>
      </w:r>
      <w:r w:rsidRPr="00582D1B">
        <w:rPr>
          <w:rFonts w:asciiTheme="minorHAnsi" w:hAnsiTheme="minorHAnsi" w:cs="Arial"/>
          <w:lang w:val="da-DK"/>
        </w:rPr>
        <w:t xml:space="preserve"> et al. (2015): Ann Surg Oncol; 22(1): 40-5</w:t>
      </w:r>
    </w:p>
    <w:p w:rsidR="005F73AF" w:rsidRDefault="005F73AF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AE015F">
        <w:rPr>
          <w:rFonts w:asciiTheme="minorHAnsi" w:hAnsiTheme="minorHAnsi" w:cs="Arial"/>
          <w:lang w:val="en-US"/>
        </w:rPr>
        <w:t xml:space="preserve">Ban </w:t>
      </w:r>
      <w:r>
        <w:rPr>
          <w:rFonts w:asciiTheme="minorHAnsi" w:hAnsiTheme="minorHAnsi" w:cs="Arial"/>
          <w:lang w:val="en-US"/>
        </w:rPr>
        <w:t>E</w:t>
      </w:r>
      <w:r w:rsidR="005D7050">
        <w:rPr>
          <w:rFonts w:asciiTheme="minorHAnsi" w:hAnsiTheme="minorHAnsi" w:cs="Arial"/>
          <w:lang w:val="en-US"/>
        </w:rPr>
        <w:t>J,</w:t>
      </w:r>
      <w:r>
        <w:rPr>
          <w:rFonts w:asciiTheme="minorHAnsi" w:hAnsiTheme="minorHAnsi" w:cs="Arial"/>
          <w:lang w:val="en-US"/>
        </w:rPr>
        <w:t xml:space="preserve"> </w:t>
      </w:r>
      <w:r w:rsidRPr="00AE015F">
        <w:rPr>
          <w:rFonts w:asciiTheme="minorHAnsi" w:hAnsiTheme="minorHAnsi" w:cs="Arial"/>
          <w:lang w:val="en-US"/>
        </w:rPr>
        <w:t>et al. (2011): J Breast Cancer</w:t>
      </w:r>
      <w:r w:rsidR="005D7050">
        <w:rPr>
          <w:rFonts w:asciiTheme="minorHAnsi" w:hAnsiTheme="minorHAnsi" w:cs="Arial"/>
          <w:lang w:val="en-US"/>
        </w:rPr>
        <w:t>;</w:t>
      </w:r>
      <w:r w:rsidRPr="00AE015F">
        <w:rPr>
          <w:rFonts w:asciiTheme="minorHAnsi" w:hAnsiTheme="minorHAnsi" w:cs="Arial"/>
          <w:lang w:val="en-US"/>
        </w:rPr>
        <w:t xml:space="preserve"> 14(4):</w:t>
      </w:r>
      <w:r>
        <w:rPr>
          <w:rFonts w:asciiTheme="minorHAnsi" w:hAnsiTheme="minorHAnsi" w:cs="Arial"/>
          <w:lang w:val="en-US"/>
        </w:rPr>
        <w:t xml:space="preserve"> </w:t>
      </w:r>
      <w:r w:rsidRPr="00AE015F">
        <w:rPr>
          <w:rFonts w:asciiTheme="minorHAnsi" w:hAnsiTheme="minorHAnsi" w:cs="Arial"/>
          <w:lang w:val="en-US"/>
        </w:rPr>
        <w:t>296-300</w:t>
      </w:r>
      <w:r>
        <w:rPr>
          <w:rFonts w:asciiTheme="minorHAnsi" w:hAnsiTheme="minorHAnsi" w:cs="Arial"/>
          <w:lang w:val="da-DK"/>
        </w:rPr>
        <w:t xml:space="preserve"> 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Civantos F</w:t>
      </w:r>
      <w:r w:rsidR="005D7050">
        <w:rPr>
          <w:rFonts w:asciiTheme="minorHAnsi" w:hAnsiTheme="minorHAnsi" w:cs="Arial"/>
          <w:lang w:val="da-DK"/>
        </w:rPr>
        <w:t>J,</w:t>
      </w:r>
      <w:r w:rsidRPr="00582D1B">
        <w:rPr>
          <w:rFonts w:asciiTheme="minorHAnsi" w:hAnsiTheme="minorHAnsi" w:cs="Arial"/>
          <w:lang w:val="da-DK"/>
        </w:rPr>
        <w:t xml:space="preserve"> et al. (2010): J Clin Oncol; 28(8): 1395-1400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 xml:space="preserve">Fachinformation zu </w:t>
      </w:r>
      <w:r w:rsidR="008052DE">
        <w:rPr>
          <w:rFonts w:asciiTheme="minorHAnsi" w:hAnsiTheme="minorHAnsi" w:cs="Arial"/>
          <w:lang w:val="da-DK"/>
        </w:rPr>
        <w:t>LYMPHOSEEK</w:t>
      </w:r>
      <w:r w:rsidRPr="00582D1B">
        <w:rPr>
          <w:rFonts w:asciiTheme="minorHAnsi" w:hAnsiTheme="minorHAnsi" w:cs="Arial"/>
          <w:lang w:val="da-DK"/>
        </w:rPr>
        <w:t>Ò Stand: September 2017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Marcinow AM</w:t>
      </w:r>
      <w:r w:rsidR="005D7050">
        <w:rPr>
          <w:rFonts w:asciiTheme="minorHAnsi" w:hAnsiTheme="minorHAnsi" w:cs="Arial"/>
          <w:lang w:val="da-DK"/>
        </w:rPr>
        <w:t>,</w:t>
      </w:r>
      <w:r w:rsidRPr="00582D1B">
        <w:rPr>
          <w:rFonts w:asciiTheme="minorHAnsi" w:hAnsiTheme="minorHAnsi" w:cs="Arial"/>
          <w:lang w:val="da-DK"/>
        </w:rPr>
        <w:t xml:space="preserve"> et al. (2013): JAMA Otolaryngol Head Neck Surg; 139(9): 895-902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Monroe MM, et al. (2012)</w:t>
      </w:r>
      <w:r w:rsidR="005D7050"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Otolaryngol Clin North Am 2012; 45(5): 1181-1193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Monroe MM, et al. (2014)</w:t>
      </w:r>
      <w:r w:rsidR="005D7050"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Curr Oncol Rep 2014; 16(5): 385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Murer K, et al. (201</w:t>
      </w:r>
      <w:r w:rsidR="005F73AF">
        <w:rPr>
          <w:rFonts w:asciiTheme="minorHAnsi" w:hAnsiTheme="minorHAnsi" w:cs="Arial"/>
          <w:lang w:val="da-DK"/>
        </w:rPr>
        <w:t>1</w:t>
      </w:r>
      <w:r w:rsidRPr="00582D1B">
        <w:rPr>
          <w:rFonts w:asciiTheme="minorHAnsi" w:hAnsiTheme="minorHAnsi" w:cs="Arial"/>
          <w:lang w:val="da-DK"/>
        </w:rPr>
        <w:t>)</w:t>
      </w:r>
      <w:r w:rsidR="005D7050"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Head Neck 2011; 33(9): 1260-1264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O'Connor R, et al. (2013)</w:t>
      </w:r>
      <w:r w:rsidR="005D7050"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J Craniomaxillofac Surg 2013; 41(8): 721-727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Schiefke F, et al.(2009)</w:t>
      </w:r>
      <w:r w:rsidR="005D7050"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Head Neck 2009; 31(4): 503-512</w:t>
      </w:r>
    </w:p>
    <w:p w:rsidR="005F73AF" w:rsidRDefault="005D7050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proofErr w:type="spellStart"/>
      <w:r>
        <w:rPr>
          <w:rFonts w:asciiTheme="minorHAnsi" w:hAnsiTheme="minorHAnsi" w:cs="Arial"/>
          <w:lang w:val="fr-FR"/>
        </w:rPr>
        <w:t>Schirbel</w:t>
      </w:r>
      <w:proofErr w:type="spellEnd"/>
      <w:r>
        <w:rPr>
          <w:rFonts w:asciiTheme="minorHAnsi" w:hAnsiTheme="minorHAnsi" w:cs="Arial"/>
          <w:lang w:val="fr-FR"/>
        </w:rPr>
        <w:t xml:space="preserve"> A,</w:t>
      </w:r>
      <w:r w:rsidR="005F73AF" w:rsidRPr="001B30EC">
        <w:rPr>
          <w:rFonts w:asciiTheme="minorHAnsi" w:hAnsiTheme="minorHAnsi" w:cs="Arial"/>
          <w:lang w:val="fr-FR"/>
        </w:rPr>
        <w:t xml:space="preserve"> et al. (2006): </w:t>
      </w:r>
      <w:proofErr w:type="spellStart"/>
      <w:r w:rsidR="005F73AF" w:rsidRPr="001B30EC">
        <w:rPr>
          <w:rFonts w:asciiTheme="minorHAnsi" w:hAnsiTheme="minorHAnsi" w:cs="Arial"/>
          <w:lang w:val="fr-FR"/>
        </w:rPr>
        <w:t>Pharm</w:t>
      </w:r>
      <w:proofErr w:type="spellEnd"/>
      <w:r w:rsidR="005F73AF" w:rsidRPr="001B30EC">
        <w:rPr>
          <w:rFonts w:asciiTheme="minorHAnsi" w:hAnsiTheme="minorHAnsi" w:cs="Arial"/>
          <w:lang w:val="fr-FR"/>
        </w:rPr>
        <w:t xml:space="preserve"> Z; 2</w:t>
      </w:r>
      <w:r w:rsidR="005F73AF">
        <w:rPr>
          <w:rFonts w:asciiTheme="minorHAnsi" w:hAnsiTheme="minorHAnsi" w:cs="Arial"/>
          <w:lang w:val="da-DK"/>
        </w:rPr>
        <w:t xml:space="preserve"> 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Schmitz S, et al. (2009)</w:t>
      </w:r>
      <w:r w:rsidR="005D7050"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Eur Arch Otorhinolaryngol 2009; 266(3): 437-443</w:t>
      </w:r>
    </w:p>
    <w:p w:rsidR="005F73AF" w:rsidRDefault="005F73AF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>
        <w:rPr>
          <w:rFonts w:asciiTheme="minorHAnsi" w:hAnsiTheme="minorHAnsi" w:cs="Arial"/>
          <w:lang w:val="da-DK"/>
        </w:rPr>
        <w:t xml:space="preserve">Seim </w:t>
      </w:r>
      <w:r w:rsidR="005D7050">
        <w:rPr>
          <w:rFonts w:asciiTheme="minorHAnsi" w:hAnsiTheme="minorHAnsi" w:cs="Arial"/>
          <w:lang w:val="da-DK"/>
        </w:rPr>
        <w:t xml:space="preserve">NB, et al. (2016): </w:t>
      </w:r>
      <w:r w:rsidR="005D7050" w:rsidRPr="005D7050">
        <w:rPr>
          <w:rFonts w:asciiTheme="minorHAnsi" w:hAnsiTheme="minorHAnsi" w:cs="Arial"/>
          <w:lang w:val="da-DK"/>
        </w:rPr>
        <w:t>World J Otorhinolaryngol Head Neck Surg</w:t>
      </w:r>
      <w:r w:rsidR="005D7050">
        <w:rPr>
          <w:rFonts w:asciiTheme="minorHAnsi" w:hAnsiTheme="minorHAnsi" w:cs="Arial"/>
          <w:lang w:val="da-DK"/>
        </w:rPr>
        <w:t>; 2(2): 117-125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Sondak</w:t>
      </w:r>
      <w:r w:rsidR="005D7050">
        <w:rPr>
          <w:rFonts w:asciiTheme="minorHAnsi" w:hAnsiTheme="minorHAnsi" w:cs="Arial"/>
          <w:lang w:val="da-DK"/>
        </w:rPr>
        <w:t xml:space="preserve"> V</w:t>
      </w:r>
      <w:r w:rsidRPr="00582D1B">
        <w:rPr>
          <w:rFonts w:asciiTheme="minorHAnsi" w:hAnsiTheme="minorHAnsi" w:cs="Arial"/>
          <w:lang w:val="da-DK"/>
        </w:rPr>
        <w:t>K</w:t>
      </w:r>
      <w:r w:rsidR="005D7050">
        <w:rPr>
          <w:rFonts w:asciiTheme="minorHAnsi" w:hAnsiTheme="minorHAnsi" w:cs="Arial"/>
          <w:lang w:val="da-DK"/>
        </w:rPr>
        <w:t>,</w:t>
      </w:r>
      <w:r w:rsidRPr="00582D1B">
        <w:rPr>
          <w:rFonts w:asciiTheme="minorHAnsi" w:hAnsiTheme="minorHAnsi" w:cs="Arial"/>
          <w:lang w:val="da-DK"/>
        </w:rPr>
        <w:t xml:space="preserve"> et al. (2013): Ann Surg Oncol; 20(2): 680-8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Unkart JT</w:t>
      </w:r>
      <w:r w:rsidR="005D7050">
        <w:rPr>
          <w:rFonts w:asciiTheme="minorHAnsi" w:hAnsiTheme="minorHAnsi" w:cs="Arial"/>
          <w:lang w:val="da-DK"/>
        </w:rPr>
        <w:t>,</w:t>
      </w:r>
      <w:r w:rsidRPr="00582D1B">
        <w:rPr>
          <w:rFonts w:asciiTheme="minorHAnsi" w:hAnsiTheme="minorHAnsi" w:cs="Arial"/>
          <w:lang w:val="da-DK"/>
        </w:rPr>
        <w:t xml:space="preserve"> et al. (2015): Ann Surg Oncol; 22 Suppl 3: S559-565</w:t>
      </w:r>
    </w:p>
    <w:p w:rsidR="00582D1B" w:rsidRP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Vera DR, et al. J (2001)</w:t>
      </w:r>
      <w:r w:rsidR="005D7050"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Nucl Med 2001; 42(6): 951-959</w:t>
      </w:r>
    </w:p>
    <w:p w:rsidR="00582D1B" w:rsidRDefault="00582D1B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Wallace A</w:t>
      </w:r>
      <w:r w:rsidR="005D7050">
        <w:rPr>
          <w:rFonts w:asciiTheme="minorHAnsi" w:hAnsiTheme="minorHAnsi" w:cs="Arial"/>
          <w:lang w:val="da-DK"/>
        </w:rPr>
        <w:t>M,</w:t>
      </w:r>
      <w:r w:rsidRPr="00582D1B">
        <w:rPr>
          <w:rFonts w:asciiTheme="minorHAnsi" w:hAnsiTheme="minorHAnsi" w:cs="Arial"/>
          <w:lang w:val="da-DK"/>
        </w:rPr>
        <w:t xml:space="preserve"> et al. (2013): Ann Surg Oncol; 20(8): 2590-9</w:t>
      </w:r>
    </w:p>
    <w:p w:rsidR="005F73AF" w:rsidRDefault="005F73AF" w:rsidP="00582D1B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1B30EC">
        <w:rPr>
          <w:rFonts w:asciiTheme="minorHAnsi" w:hAnsiTheme="minorHAnsi" w:cs="Arial"/>
          <w:lang w:val="nb-NO"/>
        </w:rPr>
        <w:t>Wilke LG</w:t>
      </w:r>
      <w:r w:rsidR="005D7050">
        <w:rPr>
          <w:rFonts w:asciiTheme="minorHAnsi" w:hAnsiTheme="minorHAnsi" w:cs="Arial"/>
          <w:lang w:val="nb-NO"/>
        </w:rPr>
        <w:t>,</w:t>
      </w:r>
      <w:r w:rsidRPr="001B30EC">
        <w:rPr>
          <w:rFonts w:asciiTheme="minorHAnsi" w:hAnsiTheme="minorHAnsi" w:cs="Arial"/>
          <w:lang w:val="nb-NO"/>
        </w:rPr>
        <w:t xml:space="preserve"> et al. </w:t>
      </w:r>
      <w:r w:rsidRPr="00CB14A9">
        <w:rPr>
          <w:rFonts w:asciiTheme="minorHAnsi" w:hAnsiTheme="minorHAnsi" w:cs="Arial"/>
        </w:rPr>
        <w:t xml:space="preserve">(2006): Ann </w:t>
      </w:r>
      <w:proofErr w:type="spellStart"/>
      <w:r w:rsidRPr="00CB14A9">
        <w:rPr>
          <w:rFonts w:asciiTheme="minorHAnsi" w:hAnsiTheme="minorHAnsi" w:cs="Arial"/>
        </w:rPr>
        <w:t>Surg</w:t>
      </w:r>
      <w:proofErr w:type="spellEnd"/>
      <w:r w:rsidRPr="00CB14A9">
        <w:rPr>
          <w:rFonts w:asciiTheme="minorHAnsi" w:hAnsiTheme="minorHAnsi" w:cs="Arial"/>
        </w:rPr>
        <w:t xml:space="preserve"> </w:t>
      </w:r>
      <w:proofErr w:type="spellStart"/>
      <w:r w:rsidRPr="00CB14A9">
        <w:rPr>
          <w:rFonts w:asciiTheme="minorHAnsi" w:hAnsiTheme="minorHAnsi" w:cs="Arial"/>
        </w:rPr>
        <w:t>Oncol</w:t>
      </w:r>
      <w:proofErr w:type="spellEnd"/>
      <w:r w:rsidRPr="00CB14A9">
        <w:rPr>
          <w:rFonts w:asciiTheme="minorHAnsi" w:hAnsiTheme="minorHAnsi" w:cs="Arial"/>
        </w:rPr>
        <w:t>; 13(4): 491-500</w:t>
      </w:r>
      <w:r>
        <w:rPr>
          <w:rFonts w:asciiTheme="minorHAnsi" w:hAnsiTheme="minorHAnsi" w:cs="Arial"/>
          <w:lang w:val="da-DK"/>
        </w:rPr>
        <w:t xml:space="preserve"> </w:t>
      </w:r>
    </w:p>
    <w:p w:rsidR="0060063E" w:rsidRDefault="0060063E" w:rsidP="0060063E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C57961">
        <w:rPr>
          <w:rFonts w:asciiTheme="minorHAnsi" w:hAnsiTheme="minorHAnsi" w:cs="Arial"/>
          <w:b/>
        </w:rPr>
        <w:t>Mit w</w:t>
      </w:r>
      <w:r w:rsidRPr="000508A7">
        <w:rPr>
          <w:rFonts w:asciiTheme="minorHAnsi" w:hAnsiTheme="minorHAnsi" w:cs="Arial"/>
          <w:b/>
        </w:rPr>
        <w:t>elchem OPS wird die Methode verschlüsselt?</w:t>
      </w:r>
    </w:p>
    <w:p w:rsidR="0029050B" w:rsidRPr="000508A7" w:rsidRDefault="0029050B" w:rsidP="00493DBC">
      <w:pPr>
        <w:spacing w:line="276" w:lineRule="auto"/>
        <w:rPr>
          <w:rFonts w:asciiTheme="minorHAnsi" w:hAnsiTheme="minorHAnsi" w:cs="Arial"/>
        </w:rPr>
      </w:pPr>
    </w:p>
    <w:p w:rsidR="00F96F4E" w:rsidRDefault="00935336" w:rsidP="00493DB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Bislang stehen lediglich die </w:t>
      </w:r>
      <w:r w:rsidR="00515F04">
        <w:rPr>
          <w:rFonts w:asciiTheme="minorHAnsi" w:hAnsiTheme="minorHAnsi"/>
        </w:rPr>
        <w:t>genannten</w:t>
      </w:r>
      <w:r>
        <w:rPr>
          <w:rFonts w:asciiTheme="minorHAnsi" w:hAnsiTheme="minorHAnsi"/>
        </w:rPr>
        <w:t xml:space="preserve"> (Methoden-) u</w:t>
      </w:r>
      <w:r w:rsidR="00536301">
        <w:rPr>
          <w:rFonts w:asciiTheme="minorHAnsi" w:hAnsiTheme="minorHAnsi"/>
        </w:rPr>
        <w:t xml:space="preserve">nspezifischen OPS zur Erfassung der Exzision von </w:t>
      </w:r>
      <w:r w:rsidR="00D56B48">
        <w:rPr>
          <w:rFonts w:asciiTheme="minorHAnsi" w:hAnsiTheme="minorHAnsi"/>
        </w:rPr>
        <w:t>Sentinel-Lymp</w:t>
      </w:r>
      <w:r w:rsidR="00184920">
        <w:rPr>
          <w:rFonts w:asciiTheme="minorHAnsi" w:hAnsiTheme="minorHAnsi"/>
        </w:rPr>
        <w:t>h</w:t>
      </w:r>
      <w:r w:rsidR="00D56B48">
        <w:rPr>
          <w:rFonts w:asciiTheme="minorHAnsi" w:hAnsiTheme="minorHAnsi"/>
        </w:rPr>
        <w:t xml:space="preserve">knoten </w:t>
      </w:r>
      <w:r w:rsidR="00366180">
        <w:rPr>
          <w:rFonts w:asciiTheme="minorHAnsi" w:hAnsiTheme="minorHAnsi"/>
        </w:rPr>
        <w:t xml:space="preserve">mittels Radionuklidmarkierung </w:t>
      </w:r>
      <w:r>
        <w:rPr>
          <w:rFonts w:asciiTheme="minorHAnsi" w:hAnsiTheme="minorHAnsi"/>
        </w:rPr>
        <w:t>zur Verfügung:</w:t>
      </w:r>
    </w:p>
    <w:p w:rsidR="002440E9" w:rsidRDefault="002440E9" w:rsidP="00493DBC">
      <w:pPr>
        <w:spacing w:line="276" w:lineRule="auto"/>
        <w:rPr>
          <w:rFonts w:asciiTheme="minorHAnsi" w:hAnsiTheme="minorHAnsi"/>
        </w:rPr>
      </w:pPr>
    </w:p>
    <w:p w:rsidR="002440E9" w:rsidRDefault="00935336" w:rsidP="0093533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5-401.01</w:t>
      </w:r>
      <w:r w:rsidR="008874BC">
        <w:rPr>
          <w:rFonts w:asciiTheme="minorHAnsi" w:hAnsiTheme="minorHAnsi"/>
        </w:rPr>
        <w:t xml:space="preserve"> 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5-401.03</w:t>
      </w:r>
      <w:r w:rsidR="008874BC">
        <w:rPr>
          <w:rFonts w:asciiTheme="minorHAnsi" w:hAnsiTheme="minorHAnsi"/>
        </w:rPr>
        <w:t xml:space="preserve"> </w:t>
      </w:r>
    </w:p>
    <w:p w:rsidR="00C241FA" w:rsidRDefault="00935336" w:rsidP="002440E9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5-401.11</w:t>
      </w:r>
      <w:r w:rsidR="002440E9">
        <w:rPr>
          <w:rFonts w:asciiTheme="minorHAnsi" w:hAnsiTheme="minorHAnsi"/>
        </w:rPr>
        <w:t xml:space="preserve"> </w:t>
      </w:r>
    </w:p>
    <w:p w:rsidR="002440E9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5-401.13</w:t>
      </w:r>
      <w:r w:rsidR="002440E9">
        <w:rPr>
          <w:rFonts w:asciiTheme="minorHAnsi" w:hAnsiTheme="minorHAnsi"/>
        </w:rPr>
        <w:t xml:space="preserve"> </w:t>
      </w:r>
    </w:p>
    <w:p w:rsidR="002440E9" w:rsidRDefault="002440E9" w:rsidP="0093533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5-401.21</w:t>
      </w:r>
    </w:p>
    <w:p w:rsidR="002440E9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5-401.23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5-401.31</w:t>
      </w:r>
      <w:r w:rsidR="002440E9">
        <w:rPr>
          <w:rFonts w:asciiTheme="minorHAnsi" w:hAnsiTheme="minorHAnsi"/>
        </w:rPr>
        <w:t xml:space="preserve"> </w:t>
      </w:r>
    </w:p>
    <w:p w:rsidR="002440E9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5-401.33</w:t>
      </w:r>
      <w:r w:rsidR="002440E9">
        <w:rPr>
          <w:rFonts w:asciiTheme="minorHAnsi" w:hAnsiTheme="minorHAnsi"/>
        </w:rPr>
        <w:t xml:space="preserve"> </w:t>
      </w:r>
    </w:p>
    <w:p w:rsidR="002440E9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lastRenderedPageBreak/>
        <w:t>5-401.41</w:t>
      </w:r>
      <w:r w:rsidR="002440E9">
        <w:rPr>
          <w:rFonts w:asciiTheme="minorHAnsi" w:hAnsiTheme="minorHAnsi"/>
        </w:rPr>
        <w:t xml:space="preserve"> 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5-401.43</w:t>
      </w:r>
      <w:r w:rsidR="002440E9">
        <w:rPr>
          <w:rFonts w:asciiTheme="minorHAnsi" w:hAnsiTheme="minorHAnsi"/>
        </w:rPr>
        <w:t xml:space="preserve"> </w:t>
      </w:r>
    </w:p>
    <w:p w:rsidR="002440E9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5-401.51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5-401.53</w:t>
      </w:r>
      <w:r w:rsidR="002440E9" w:rsidRPr="002440E9">
        <w:t xml:space="preserve"> 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5-401.71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5-401.73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5-401.81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5-401.83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5-401.91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5-401.93</w:t>
      </w:r>
    </w:p>
    <w:p w:rsidR="001F339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 xml:space="preserve">5-401.a1 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5-401.a3</w:t>
      </w:r>
    </w:p>
    <w:p w:rsidR="00C241FA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5-401.g1</w:t>
      </w:r>
    </w:p>
    <w:p w:rsidR="00935336" w:rsidRDefault="00935336" w:rsidP="00935336">
      <w:pPr>
        <w:spacing w:line="276" w:lineRule="auto"/>
        <w:rPr>
          <w:rFonts w:asciiTheme="minorHAnsi" w:hAnsiTheme="minorHAnsi"/>
        </w:rPr>
      </w:pPr>
      <w:r w:rsidRPr="00F96F4E">
        <w:rPr>
          <w:rFonts w:asciiTheme="minorHAnsi" w:hAnsiTheme="minorHAnsi"/>
        </w:rPr>
        <w:t>5-401.g3</w:t>
      </w:r>
    </w:p>
    <w:p w:rsidR="000A651C" w:rsidRDefault="000A651C" w:rsidP="00493DBC">
      <w:pPr>
        <w:spacing w:line="276" w:lineRule="auto"/>
        <w:rPr>
          <w:rFonts w:asciiTheme="minorHAnsi" w:hAnsiTheme="minorHAnsi" w:cs="Arial"/>
        </w:rPr>
      </w:pPr>
    </w:p>
    <w:p w:rsidR="00FC5AD2" w:rsidRDefault="00FC5AD2" w:rsidP="006B42DB">
      <w:pPr>
        <w:spacing w:line="276" w:lineRule="auto"/>
        <w:outlineLvl w:val="0"/>
        <w:rPr>
          <w:rFonts w:asciiTheme="minorHAnsi" w:hAnsiTheme="minorHAnsi" w:cs="Arial"/>
          <w:b/>
          <w:bCs/>
        </w:rPr>
      </w:pPr>
      <w:r w:rsidRPr="00FC5AD2">
        <w:rPr>
          <w:rFonts w:asciiTheme="minorHAnsi" w:hAnsiTheme="minorHAnsi" w:cs="Arial"/>
          <w:b/>
          <w:bCs/>
        </w:rPr>
        <w:t>De</w:t>
      </w:r>
      <w:r>
        <w:rPr>
          <w:rFonts w:asciiTheme="minorHAnsi" w:hAnsiTheme="minorHAnsi" w:cs="Arial"/>
          <w:b/>
          <w:bCs/>
        </w:rPr>
        <w:t>r</w:t>
      </w:r>
      <w:r w:rsidRPr="00FC5AD2">
        <w:rPr>
          <w:rFonts w:asciiTheme="minorHAnsi" w:hAnsiTheme="minorHAnsi" w:cs="Arial"/>
          <w:b/>
          <w:bCs/>
        </w:rPr>
        <w:t xml:space="preserve">zeit sind keine </w:t>
      </w:r>
      <w:proofErr w:type="spellStart"/>
      <w:r>
        <w:rPr>
          <w:rFonts w:asciiTheme="minorHAnsi" w:hAnsiTheme="minorHAnsi" w:cs="Arial"/>
          <w:b/>
          <w:bCs/>
        </w:rPr>
        <w:t>Prozedurencodes</w:t>
      </w:r>
      <w:proofErr w:type="spellEnd"/>
      <w:r>
        <w:rPr>
          <w:rFonts w:asciiTheme="minorHAnsi" w:hAnsiTheme="minorHAnsi" w:cs="Arial"/>
          <w:b/>
          <w:bCs/>
        </w:rPr>
        <w:t xml:space="preserve"> (OPS) verfügbar</w:t>
      </w:r>
    </w:p>
    <w:p w:rsidR="00D56B48" w:rsidRDefault="00D56B48" w:rsidP="00493DBC">
      <w:pPr>
        <w:spacing w:line="276" w:lineRule="auto"/>
        <w:rPr>
          <w:rFonts w:asciiTheme="minorHAnsi" w:hAnsiTheme="minorHAnsi" w:cs="Arial"/>
          <w:b/>
          <w:bCs/>
        </w:rPr>
      </w:pPr>
    </w:p>
    <w:p w:rsidR="00FC5AD2" w:rsidRPr="0078138F" w:rsidRDefault="002440E9" w:rsidP="006B42DB">
      <w:pPr>
        <w:spacing w:line="276" w:lineRule="auto"/>
        <w:outlineLvl w:val="0"/>
        <w:rPr>
          <w:rFonts w:asciiTheme="minorHAnsi" w:hAnsiTheme="minorHAnsi" w:cs="Arial"/>
          <w:bCs/>
        </w:rPr>
      </w:pPr>
      <w:r w:rsidRPr="0078138F">
        <w:rPr>
          <w:rFonts w:asciiTheme="minorHAnsi" w:hAnsiTheme="minorHAnsi" w:cs="Arial"/>
          <w:bCs/>
          <w:highlight w:val="yellow"/>
        </w:rPr>
        <w:t>Bitte nicht ankreuzen</w:t>
      </w:r>
    </w:p>
    <w:p w:rsidR="00D56B48" w:rsidRDefault="00D56B48" w:rsidP="00493DBC">
      <w:pPr>
        <w:spacing w:line="276" w:lineRule="auto"/>
        <w:rPr>
          <w:rFonts w:asciiTheme="minorHAnsi" w:hAnsiTheme="minorHAnsi" w:cs="Arial"/>
          <w:b/>
          <w:bCs/>
        </w:rPr>
      </w:pPr>
    </w:p>
    <w:p w:rsidR="005B2747" w:rsidRDefault="00FC5AD2" w:rsidP="006B42DB">
      <w:pPr>
        <w:spacing w:line="276" w:lineRule="auto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Anmerkungen zu den Prozeduren</w:t>
      </w:r>
    </w:p>
    <w:p w:rsidR="005B2747" w:rsidRDefault="005B2747" w:rsidP="00493DBC">
      <w:pPr>
        <w:spacing w:line="276" w:lineRule="auto"/>
        <w:rPr>
          <w:rFonts w:asciiTheme="minorHAnsi" w:hAnsiTheme="minorHAnsi" w:cs="Arial"/>
          <w:b/>
          <w:bCs/>
        </w:rPr>
      </w:pPr>
    </w:p>
    <w:p w:rsidR="005B2747" w:rsidRDefault="005B2747" w:rsidP="00DB61B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Bislang stehen lediglich </w:t>
      </w:r>
      <w:r w:rsidR="00D779C6">
        <w:rPr>
          <w:rFonts w:asciiTheme="minorHAnsi" w:hAnsiTheme="minorHAnsi"/>
        </w:rPr>
        <w:t>unspezifische</w:t>
      </w:r>
      <w:r w:rsidR="00536301">
        <w:rPr>
          <w:rFonts w:asciiTheme="minorHAnsi" w:hAnsiTheme="minorHAnsi"/>
        </w:rPr>
        <w:t xml:space="preserve"> OPS zur Erfassung der Exzision von</w:t>
      </w:r>
      <w:r>
        <w:rPr>
          <w:rFonts w:asciiTheme="minorHAnsi" w:hAnsiTheme="minorHAnsi"/>
        </w:rPr>
        <w:t xml:space="preserve"> Sentinel-Lymphknoten zur Verfügung</w:t>
      </w:r>
      <w:r w:rsidR="0073136F">
        <w:rPr>
          <w:rFonts w:asciiTheme="minorHAnsi" w:hAnsiTheme="minorHAnsi"/>
        </w:rPr>
        <w:t>.</w:t>
      </w:r>
      <w:r w:rsidR="002440E9">
        <w:rPr>
          <w:rFonts w:asciiTheme="minorHAnsi" w:hAnsiTheme="minorHAnsi"/>
        </w:rPr>
        <w:t xml:space="preserve"> Eine Spezifizierung </w:t>
      </w:r>
      <w:r w:rsidR="00536301">
        <w:rPr>
          <w:rFonts w:asciiTheme="minorHAnsi" w:hAnsiTheme="minorHAnsi"/>
        </w:rPr>
        <w:t xml:space="preserve">des verwendeten Radionuklids bzw. Arzneimittels ist </w:t>
      </w:r>
      <w:r w:rsidR="00C07960" w:rsidRPr="0078138F">
        <w:rPr>
          <w:rFonts w:asciiTheme="minorHAnsi" w:hAnsiTheme="minorHAnsi"/>
        </w:rPr>
        <w:t xml:space="preserve">in den Kodes </w:t>
      </w:r>
      <w:r w:rsidR="00536301" w:rsidRPr="0078138F">
        <w:rPr>
          <w:rFonts w:asciiTheme="minorHAnsi" w:hAnsiTheme="minorHAnsi"/>
        </w:rPr>
        <w:t>bislang</w:t>
      </w:r>
      <w:r w:rsidR="00536301">
        <w:rPr>
          <w:rFonts w:asciiTheme="minorHAnsi" w:hAnsiTheme="minorHAnsi"/>
        </w:rPr>
        <w:t xml:space="preserve"> nicht vorgesehen, was dazu führt, dass </w:t>
      </w:r>
      <w:r w:rsidR="001E0E06">
        <w:rPr>
          <w:rFonts w:asciiTheme="minorHAnsi" w:hAnsiTheme="minorHAnsi"/>
        </w:rPr>
        <w:t xml:space="preserve">das </w:t>
      </w:r>
      <w:r w:rsidR="00536301">
        <w:rPr>
          <w:rFonts w:asciiTheme="minorHAnsi" w:hAnsiTheme="minorHAnsi"/>
        </w:rPr>
        <w:t xml:space="preserve">neue Arzneimittel 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="00536301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536301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536301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536301">
        <w:rPr>
          <w:rFonts w:asciiTheme="minorHAnsi" w:hAnsiTheme="minorHAnsi" w:cs="Arial"/>
        </w:rPr>
        <w:t>T</w:t>
      </w:r>
      <w:r w:rsidR="00536301" w:rsidRPr="000508A7">
        <w:rPr>
          <w:rFonts w:asciiTheme="minorHAnsi" w:hAnsiTheme="minorHAnsi" w:cs="Arial"/>
        </w:rPr>
        <w:t>ilmanocept</w:t>
      </w:r>
      <w:proofErr w:type="spellEnd"/>
      <w:r w:rsidR="00536301" w:rsidRPr="006178AE">
        <w:rPr>
          <w:rFonts w:asciiTheme="minorHAnsi" w:hAnsiTheme="minorHAnsi" w:cs="Arial"/>
        </w:rPr>
        <w:t>)</w:t>
      </w:r>
      <w:r w:rsidR="00536301">
        <w:rPr>
          <w:rFonts w:asciiTheme="minorHAnsi" w:hAnsiTheme="minorHAnsi"/>
        </w:rPr>
        <w:t xml:space="preserve"> nicht abgebildet werden k</w:t>
      </w:r>
      <w:r w:rsidR="001E0E06">
        <w:rPr>
          <w:rFonts w:asciiTheme="minorHAnsi" w:hAnsiTheme="minorHAnsi"/>
        </w:rPr>
        <w:t>ann</w:t>
      </w:r>
      <w:r w:rsidR="00536301">
        <w:rPr>
          <w:rFonts w:asciiTheme="minorHAnsi" w:hAnsiTheme="minorHAnsi"/>
        </w:rPr>
        <w:t xml:space="preserve">. </w:t>
      </w:r>
    </w:p>
    <w:p w:rsidR="00BA18DF" w:rsidRPr="0042098F" w:rsidRDefault="00BA18DF" w:rsidP="00493DBC">
      <w:pPr>
        <w:spacing w:line="276" w:lineRule="auto"/>
        <w:rPr>
          <w:rFonts w:asciiTheme="minorHAnsi" w:hAnsiTheme="minorHAnsi"/>
        </w:rPr>
      </w:pPr>
      <w:r w:rsidRPr="000508A7">
        <w:rPr>
          <w:rFonts w:asciiTheme="minorHAnsi" w:hAnsiTheme="minorHAnsi" w:cs="Arial"/>
          <w:b/>
          <w:bCs/>
        </w:rPr>
        <w:br w:type="page"/>
      </w:r>
    </w:p>
    <w:p w:rsidR="00BA18DF" w:rsidRPr="000508A7" w:rsidRDefault="00BA18DF" w:rsidP="00497E3D">
      <w:pPr>
        <w:pStyle w:val="berschrift1"/>
      </w:pPr>
      <w:r w:rsidRPr="000508A7">
        <w:lastRenderedPageBreak/>
        <w:t xml:space="preserve">Methodendetails </w:t>
      </w:r>
    </w:p>
    <w:p w:rsidR="00B80BF1" w:rsidRPr="000508A7" w:rsidRDefault="00B80BF1" w:rsidP="00493DBC">
      <w:pPr>
        <w:spacing w:line="276" w:lineRule="auto"/>
        <w:rPr>
          <w:rFonts w:asciiTheme="minorHAnsi" w:hAnsiTheme="minorHAnsi" w:cs="Arial"/>
        </w:rPr>
      </w:pPr>
    </w:p>
    <w:p w:rsidR="008E6782" w:rsidRPr="00C810B3" w:rsidRDefault="00F32CF6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Bei welchem</w:t>
      </w:r>
      <w:r w:rsidR="008E6782" w:rsidRPr="00C810B3">
        <w:rPr>
          <w:rFonts w:asciiTheme="minorHAnsi" w:hAnsiTheme="minorHAnsi" w:cs="Arial"/>
          <w:b/>
        </w:rPr>
        <w:t xml:space="preserve"> Patienten wird die Methode angewandt (Indikation)?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8312C6" w:rsidRPr="000508A7" w:rsidRDefault="00432FA8" w:rsidP="00493DBC">
      <w:pPr>
        <w:spacing w:after="120" w:line="276" w:lineRule="auto"/>
        <w:rPr>
          <w:rFonts w:asciiTheme="minorHAnsi" w:hAnsiTheme="minorHAnsi" w:cs="Arial"/>
        </w:rPr>
      </w:pPr>
      <w:r w:rsidRPr="00493DBC">
        <w:rPr>
          <w:rFonts w:asciiTheme="minorHAnsi" w:hAnsiTheme="minorHAnsi" w:cs="Arial"/>
        </w:rPr>
        <w:t>[</w:t>
      </w:r>
      <w:r w:rsidRPr="00493DBC">
        <w:rPr>
          <w:rFonts w:asciiTheme="minorHAnsi" w:hAnsiTheme="minorHAnsi" w:cs="Arial"/>
          <w:vertAlign w:val="superscript"/>
        </w:rPr>
        <w:t>99m</w:t>
      </w:r>
      <w:r w:rsidRPr="00493DBC">
        <w:rPr>
          <w:rFonts w:asciiTheme="minorHAnsi" w:hAnsiTheme="minorHAnsi" w:cs="Arial"/>
        </w:rPr>
        <w:t>Tc]</w:t>
      </w:r>
      <w:r w:rsidR="005F73AF">
        <w:rPr>
          <w:rFonts w:asciiTheme="minorHAnsi" w:hAnsiTheme="minorHAnsi" w:cs="Arial"/>
        </w:rPr>
        <w:t xml:space="preserve"> </w:t>
      </w:r>
      <w:proofErr w:type="spellStart"/>
      <w:r w:rsidRPr="00493DBC">
        <w:rPr>
          <w:rFonts w:asciiTheme="minorHAnsi" w:hAnsiTheme="minorHAnsi" w:cs="Arial"/>
        </w:rPr>
        <w:t>Tilmanocept</w:t>
      </w:r>
      <w:proofErr w:type="spellEnd"/>
      <w:r w:rsidRPr="00493DBC">
        <w:rPr>
          <w:rFonts w:asciiTheme="minorHAnsi" w:hAnsiTheme="minorHAnsi" w:cs="Arial"/>
        </w:rPr>
        <w:t xml:space="preserve"> </w:t>
      </w:r>
      <w:r w:rsidR="008312C6" w:rsidRPr="000508A7">
        <w:rPr>
          <w:rFonts w:asciiTheme="minorHAnsi" w:hAnsiTheme="minorHAnsi" w:cs="Arial"/>
        </w:rPr>
        <w:t>wird angewendet bei der Bildgebung und der intraoperativen Detektion von Wächterlymphknoten im Lymphabflussgebiet von primären Tumoren bei erwachsenen Patienten mit Mammakarzinom, Melanom oder lokalisiertem Plattenepithelkarzinom der Mundhöhle.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Welche bestehende Methode wird durch die neue Methode abgelöst oder ergänzt?</w:t>
      </w:r>
    </w:p>
    <w:p w:rsidR="00537711" w:rsidRPr="000508A7" w:rsidRDefault="00537711" w:rsidP="00493DBC">
      <w:pPr>
        <w:spacing w:line="276" w:lineRule="auto"/>
        <w:rPr>
          <w:rFonts w:asciiTheme="minorHAnsi" w:hAnsiTheme="minorHAnsi" w:cs="Arial"/>
        </w:rPr>
      </w:pPr>
    </w:p>
    <w:p w:rsidR="007735D9" w:rsidRPr="000508A7" w:rsidRDefault="00432FA8" w:rsidP="00493DBC">
      <w:pPr>
        <w:spacing w:line="276" w:lineRule="auto"/>
        <w:rPr>
          <w:rStyle w:val="label3"/>
          <w:rFonts w:asciiTheme="minorHAnsi" w:hAnsiTheme="minorHAnsi" w:cs="Arial"/>
        </w:rPr>
      </w:pPr>
      <w:r w:rsidRPr="00493DBC">
        <w:rPr>
          <w:rFonts w:asciiTheme="minorHAnsi" w:hAnsiTheme="minorHAnsi" w:cs="Arial"/>
        </w:rPr>
        <w:t>[</w:t>
      </w:r>
      <w:r w:rsidRPr="00493DBC">
        <w:rPr>
          <w:rFonts w:asciiTheme="minorHAnsi" w:hAnsiTheme="minorHAnsi" w:cs="Arial"/>
          <w:vertAlign w:val="superscript"/>
        </w:rPr>
        <w:t>99m</w:t>
      </w:r>
      <w:r w:rsidRPr="00493DBC">
        <w:rPr>
          <w:rFonts w:asciiTheme="minorHAnsi" w:hAnsiTheme="minorHAnsi" w:cs="Arial"/>
        </w:rPr>
        <w:t>Tc]</w:t>
      </w:r>
      <w:r w:rsidR="005F73AF">
        <w:rPr>
          <w:rFonts w:asciiTheme="minorHAnsi" w:hAnsiTheme="minorHAnsi" w:cs="Arial"/>
        </w:rPr>
        <w:t xml:space="preserve"> </w:t>
      </w:r>
      <w:proofErr w:type="spellStart"/>
      <w:r w:rsidRPr="00493DBC">
        <w:rPr>
          <w:rFonts w:asciiTheme="minorHAnsi" w:hAnsiTheme="minorHAnsi" w:cs="Arial"/>
        </w:rPr>
        <w:t>Tilmanocept</w:t>
      </w:r>
      <w:proofErr w:type="spellEnd"/>
      <w:r w:rsidRPr="00493DBC">
        <w:rPr>
          <w:rFonts w:asciiTheme="minorHAnsi" w:hAnsiTheme="minorHAnsi" w:cs="Arial"/>
        </w:rPr>
        <w:t xml:space="preserve"> </w:t>
      </w:r>
      <w:r w:rsidR="00AB5F44" w:rsidRPr="000508A7">
        <w:rPr>
          <w:rStyle w:val="label3"/>
          <w:rFonts w:asciiTheme="minorHAnsi" w:hAnsiTheme="minorHAnsi" w:cs="Arial"/>
          <w:specVanish w:val="0"/>
        </w:rPr>
        <w:t xml:space="preserve">ist eine </w:t>
      </w:r>
      <w:r w:rsidR="00BF6ED9">
        <w:rPr>
          <w:rStyle w:val="label3"/>
          <w:rFonts w:asciiTheme="minorHAnsi" w:hAnsiTheme="minorHAnsi" w:cs="Arial"/>
          <w:specVanish w:val="0"/>
        </w:rPr>
        <w:t xml:space="preserve">spezialisierte </w:t>
      </w:r>
      <w:r w:rsidR="00AB5F44" w:rsidRPr="000508A7">
        <w:rPr>
          <w:rStyle w:val="label3"/>
          <w:rFonts w:asciiTheme="minorHAnsi" w:hAnsiTheme="minorHAnsi" w:cs="Arial"/>
          <w:specVanish w:val="0"/>
        </w:rPr>
        <w:t>Alternative zu bisher angewendeten radioaktiven Diagnostika</w:t>
      </w:r>
      <w:r w:rsidR="002644A0">
        <w:rPr>
          <w:rStyle w:val="label3"/>
          <w:rFonts w:asciiTheme="minorHAnsi" w:hAnsiTheme="minorHAnsi" w:cs="Arial"/>
          <w:specVanish w:val="0"/>
        </w:rPr>
        <w:t xml:space="preserve"> (Arzneimittel bzw. Medizinprodukten)</w:t>
      </w:r>
      <w:r w:rsidR="00AB5F44" w:rsidRPr="000508A7">
        <w:rPr>
          <w:rStyle w:val="label3"/>
          <w:rFonts w:asciiTheme="minorHAnsi" w:hAnsiTheme="minorHAnsi" w:cs="Arial"/>
          <w:specVanish w:val="0"/>
        </w:rPr>
        <w:t>, wie beispielswei</w:t>
      </w:r>
      <w:r w:rsidR="00D779C6">
        <w:rPr>
          <w:rStyle w:val="label3"/>
          <w:rFonts w:asciiTheme="minorHAnsi" w:hAnsiTheme="minorHAnsi" w:cs="Arial"/>
          <w:specVanish w:val="0"/>
        </w:rPr>
        <w:t>s</w:t>
      </w:r>
      <w:r w:rsidR="00AB5F44" w:rsidRPr="000508A7">
        <w:rPr>
          <w:rStyle w:val="label3"/>
          <w:rFonts w:asciiTheme="minorHAnsi" w:hAnsiTheme="minorHAnsi" w:cs="Arial"/>
          <w:specVanish w:val="0"/>
        </w:rPr>
        <w:t xml:space="preserve">e </w:t>
      </w:r>
      <w:proofErr w:type="spellStart"/>
      <w:r w:rsidR="00AB5F44" w:rsidRPr="00FC5AD2">
        <w:rPr>
          <w:rFonts w:asciiTheme="minorHAnsi" w:hAnsiTheme="minorHAnsi" w:cs="Arial"/>
        </w:rPr>
        <w:t>Nanocoll</w:t>
      </w:r>
      <w:proofErr w:type="spellEnd"/>
      <w:r w:rsidR="00AB5F44" w:rsidRPr="00FC5AD2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6178AE">
        <w:rPr>
          <w:rFonts w:asciiTheme="minorHAnsi" w:hAnsiTheme="minorHAnsi" w:cs="Arial"/>
        </w:rPr>
        <w:t xml:space="preserve"> bzw. dem Farbstoff</w:t>
      </w:r>
      <w:r w:rsidR="00E113B3">
        <w:rPr>
          <w:rFonts w:asciiTheme="minorHAnsi" w:hAnsiTheme="minorHAnsi" w:cs="Arial"/>
        </w:rPr>
        <w:t xml:space="preserve"> </w:t>
      </w:r>
      <w:r w:rsidR="007735D9" w:rsidRPr="00F5099C">
        <w:rPr>
          <w:rFonts w:asciiTheme="minorHAnsi" w:hAnsiTheme="minorHAnsi" w:cs="Arial"/>
        </w:rPr>
        <w:t>Patentblau V</w:t>
      </w:r>
      <w:r w:rsidR="007735D9" w:rsidRPr="00F5099C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E113B3">
        <w:rPr>
          <w:rStyle w:val="label3"/>
          <w:rFonts w:asciiTheme="minorHAnsi" w:hAnsiTheme="minorHAnsi" w:cs="Arial"/>
          <w:specVanish w:val="0"/>
        </w:rPr>
        <w:t>.</w:t>
      </w:r>
    </w:p>
    <w:p w:rsidR="007735D9" w:rsidRPr="000508A7" w:rsidRDefault="007735D9" w:rsidP="00493DBC">
      <w:pPr>
        <w:spacing w:line="276" w:lineRule="auto"/>
        <w:rPr>
          <w:rStyle w:val="label3"/>
          <w:rFonts w:asciiTheme="minorHAnsi" w:hAnsiTheme="minorHAnsi" w:cs="Arial"/>
          <w:vertAlign w:val="superscript"/>
        </w:rPr>
      </w:pP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Ist die Methode vollständig oder in Teilen neu und warum handelt es sich um eine neue Untersuchungs- und Behandlungsmethode?</w:t>
      </w:r>
    </w:p>
    <w:p w:rsidR="00537711" w:rsidRPr="000508A7" w:rsidRDefault="00537711" w:rsidP="00493DBC">
      <w:pPr>
        <w:spacing w:line="276" w:lineRule="auto"/>
        <w:rPr>
          <w:rFonts w:asciiTheme="minorHAnsi" w:hAnsiTheme="minorHAnsi" w:cs="Arial"/>
        </w:rPr>
      </w:pPr>
    </w:p>
    <w:p w:rsidR="00CC0860" w:rsidRDefault="00CC0860" w:rsidP="00493DB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Methode ist</w:t>
      </w:r>
      <w:r w:rsidR="006706FA" w:rsidRPr="000508A7">
        <w:rPr>
          <w:rFonts w:asciiTheme="minorHAnsi" w:hAnsiTheme="minorHAnsi" w:cs="Arial"/>
        </w:rPr>
        <w:t xml:space="preserve"> </w:t>
      </w:r>
      <w:r w:rsidR="00A92DF2">
        <w:rPr>
          <w:rFonts w:asciiTheme="minorHAnsi" w:hAnsiTheme="minorHAnsi" w:cs="Arial"/>
        </w:rPr>
        <w:t xml:space="preserve">in Deutschland </w:t>
      </w:r>
      <w:r w:rsidR="006706FA" w:rsidRPr="000508A7">
        <w:rPr>
          <w:rFonts w:asciiTheme="minorHAnsi" w:hAnsiTheme="minorHAnsi" w:cs="Arial"/>
        </w:rPr>
        <w:t>neu</w:t>
      </w:r>
      <w:r w:rsidR="002644A0">
        <w:rPr>
          <w:rFonts w:asciiTheme="minorHAnsi" w:hAnsiTheme="minorHAnsi" w:cs="Arial"/>
        </w:rPr>
        <w:t xml:space="preserve"> </w:t>
      </w:r>
      <w:r w:rsidR="006A3F9F">
        <w:rPr>
          <w:rFonts w:asciiTheme="minorHAnsi" w:hAnsiTheme="minorHAnsi" w:cs="Arial"/>
        </w:rPr>
        <w:t xml:space="preserve">– die Markt-Einführung erfolgte 2018 </w:t>
      </w:r>
      <w:r w:rsidR="002644A0">
        <w:rPr>
          <w:rFonts w:asciiTheme="minorHAnsi" w:hAnsiTheme="minorHAnsi" w:cs="Arial"/>
        </w:rPr>
        <w:t>(erstmalige Zulassung des Wirkstoffes durch die EMA</w:t>
      </w:r>
      <w:r w:rsidR="00A92DF2">
        <w:rPr>
          <w:rFonts w:asciiTheme="minorHAnsi" w:hAnsiTheme="minorHAnsi" w:cs="Arial"/>
        </w:rPr>
        <w:t xml:space="preserve"> 201</w:t>
      </w:r>
      <w:r w:rsidR="00D779C6">
        <w:rPr>
          <w:rFonts w:asciiTheme="minorHAnsi" w:hAnsiTheme="minorHAnsi" w:cs="Arial"/>
        </w:rPr>
        <w:t>4</w:t>
      </w:r>
      <w:r w:rsidR="002644A0">
        <w:rPr>
          <w:rFonts w:asciiTheme="minorHAnsi" w:hAnsiTheme="minorHAnsi" w:cs="Arial"/>
        </w:rPr>
        <w:t>)</w:t>
      </w:r>
      <w:r w:rsidR="00E36428">
        <w:rPr>
          <w:rFonts w:asciiTheme="minorHAnsi" w:hAnsiTheme="minorHAnsi" w:cs="Arial"/>
        </w:rPr>
        <w:t xml:space="preserve">. Die Anwendung von </w:t>
      </w:r>
      <w:r w:rsidR="00E36428" w:rsidRPr="00493DBC">
        <w:rPr>
          <w:rFonts w:asciiTheme="minorHAnsi" w:hAnsiTheme="minorHAnsi" w:cs="Arial"/>
        </w:rPr>
        <w:t>[</w:t>
      </w:r>
      <w:r w:rsidR="00E36428" w:rsidRPr="00493DBC">
        <w:rPr>
          <w:rFonts w:asciiTheme="minorHAnsi" w:hAnsiTheme="minorHAnsi" w:cs="Arial"/>
          <w:vertAlign w:val="superscript"/>
        </w:rPr>
        <w:t>99m</w:t>
      </w:r>
      <w:r w:rsidR="00E36428" w:rsidRPr="00493DBC">
        <w:rPr>
          <w:rFonts w:asciiTheme="minorHAnsi" w:hAnsiTheme="minorHAnsi" w:cs="Arial"/>
        </w:rPr>
        <w:t>Tc]</w:t>
      </w:r>
      <w:r w:rsidR="005F73AF">
        <w:rPr>
          <w:rFonts w:asciiTheme="minorHAnsi" w:hAnsiTheme="minorHAnsi" w:cs="Arial"/>
        </w:rPr>
        <w:t xml:space="preserve"> </w:t>
      </w:r>
      <w:proofErr w:type="spellStart"/>
      <w:r w:rsidR="00E36428" w:rsidRPr="00493DBC">
        <w:rPr>
          <w:rFonts w:asciiTheme="minorHAnsi" w:hAnsiTheme="minorHAnsi" w:cs="Arial"/>
        </w:rPr>
        <w:t>Tilmanocept</w:t>
      </w:r>
      <w:proofErr w:type="spellEnd"/>
      <w:r w:rsidR="00E36428" w:rsidRPr="00493DBC">
        <w:rPr>
          <w:rFonts w:asciiTheme="minorHAnsi" w:hAnsiTheme="minorHAnsi" w:cs="Arial"/>
        </w:rPr>
        <w:t xml:space="preserve"> </w:t>
      </w:r>
      <w:r w:rsidR="00E36428">
        <w:rPr>
          <w:rFonts w:asciiTheme="minorHAnsi" w:hAnsiTheme="minorHAnsi" w:cs="Arial"/>
        </w:rPr>
        <w:t xml:space="preserve">erfolgt ausschließlich in der stationären Versorgung (EMA 2017: </w:t>
      </w:r>
      <w:r w:rsidR="00E36428" w:rsidRPr="00E36428">
        <w:rPr>
          <w:rFonts w:asciiTheme="minorHAnsi" w:hAnsiTheme="minorHAnsi" w:cs="Arial"/>
        </w:rPr>
        <w:t xml:space="preserve">This </w:t>
      </w:r>
      <w:proofErr w:type="spellStart"/>
      <w:r w:rsidR="00E36428" w:rsidRPr="00E36428">
        <w:rPr>
          <w:rFonts w:asciiTheme="minorHAnsi" w:hAnsiTheme="minorHAnsi" w:cs="Arial"/>
        </w:rPr>
        <w:t>medicine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is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for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hospital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use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only</w:t>
      </w:r>
      <w:proofErr w:type="spellEnd"/>
      <w:r w:rsidR="00E36428">
        <w:rPr>
          <w:rFonts w:asciiTheme="minorHAnsi" w:hAnsiTheme="minorHAnsi" w:cs="Arial"/>
        </w:rPr>
        <w:t>). I</w:t>
      </w:r>
      <w:r>
        <w:rPr>
          <w:rFonts w:asciiTheme="minorHAnsi" w:hAnsiTheme="minorHAnsi" w:cs="Arial"/>
        </w:rPr>
        <w:t>hr</w:t>
      </w:r>
      <w:r w:rsidR="006706FA" w:rsidRPr="000508A7">
        <w:rPr>
          <w:rFonts w:asciiTheme="minorHAnsi" w:hAnsiTheme="minorHAnsi" w:cs="Arial"/>
        </w:rPr>
        <w:t xml:space="preserve"> liegt ein</w:t>
      </w:r>
      <w:r w:rsidR="00E36428">
        <w:rPr>
          <w:rFonts w:asciiTheme="minorHAnsi" w:hAnsiTheme="minorHAnsi" w:cs="Arial"/>
        </w:rPr>
        <w:t>e spezifische wissenschaftliche Methode zu Grunde, welche</w:t>
      </w:r>
      <w:r w:rsidR="006706FA" w:rsidRPr="000508A7">
        <w:rPr>
          <w:rFonts w:asciiTheme="minorHAnsi" w:hAnsiTheme="minorHAnsi" w:cs="Arial"/>
        </w:rPr>
        <w:t xml:space="preserve"> eine </w:t>
      </w:r>
      <w:r>
        <w:rPr>
          <w:rFonts w:asciiTheme="minorHAnsi" w:hAnsiTheme="minorHAnsi" w:cs="Arial"/>
        </w:rPr>
        <w:t xml:space="preserve">deutlich </w:t>
      </w:r>
      <w:r w:rsidR="006706FA" w:rsidRPr="000508A7">
        <w:rPr>
          <w:rFonts w:asciiTheme="minorHAnsi" w:hAnsiTheme="minorHAnsi" w:cs="Arial"/>
        </w:rPr>
        <w:t>verbesserte Identifikation und Abgrenzung der Wächterlymphknoten bei Patienten mit Brustkrebs, Melanom oder Plattenepithelkarz</w:t>
      </w:r>
      <w:r w:rsidR="002644A0">
        <w:rPr>
          <w:rFonts w:asciiTheme="minorHAnsi" w:hAnsiTheme="minorHAnsi" w:cs="Arial"/>
        </w:rPr>
        <w:t>inomen der Mundhöhle ermöglicht:</w:t>
      </w:r>
      <w:r w:rsidR="00050CD9">
        <w:rPr>
          <w:rFonts w:asciiTheme="minorHAnsi" w:hAnsiTheme="minorHAnsi" w:cs="Arial"/>
        </w:rPr>
        <w:t xml:space="preserve"> </w:t>
      </w:r>
    </w:p>
    <w:p w:rsidR="002644A0" w:rsidRPr="00706642" w:rsidRDefault="002644A0" w:rsidP="0070664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706642">
        <w:rPr>
          <w:rFonts w:asciiTheme="minorHAnsi" w:hAnsiTheme="minorHAnsi" w:cs="Arial"/>
        </w:rPr>
        <w:t>Verbessertes Potential in der Diagnostik einer lymphogenen Metastasierung</w:t>
      </w:r>
    </w:p>
    <w:p w:rsidR="002644A0" w:rsidRPr="00706642" w:rsidRDefault="002644A0" w:rsidP="0070664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706642">
        <w:rPr>
          <w:rFonts w:asciiTheme="minorHAnsi" w:hAnsiTheme="minorHAnsi" w:cs="Arial"/>
        </w:rPr>
        <w:t>statistisch signifikant höhere Detektionsrate von betroffenen Sentinel-Lymphknoten im Vergleich zu anderen Verfahren</w:t>
      </w:r>
    </w:p>
    <w:p w:rsidR="002644A0" w:rsidRDefault="002644A0" w:rsidP="0070664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706642">
        <w:rPr>
          <w:rFonts w:asciiTheme="minorHAnsi" w:hAnsiTheme="minorHAnsi" w:cs="Arial"/>
        </w:rPr>
        <w:t>Entnahme von weniger Lymphknoten im Vergleich zu anderen Verfahren, um eine lymphatische Metastasierung zu erkennen</w:t>
      </w:r>
      <w:r w:rsidR="00706642" w:rsidRPr="00706642">
        <w:rPr>
          <w:rFonts w:asciiTheme="minorHAnsi" w:hAnsiTheme="minorHAnsi" w:cs="Arial"/>
        </w:rPr>
        <w:t xml:space="preserve"> (verbunden mit einer geringeren Anzahl von Infektionen </w:t>
      </w:r>
      <w:r w:rsidR="001F339A">
        <w:rPr>
          <w:rFonts w:asciiTheme="minorHAnsi" w:hAnsiTheme="minorHAnsi" w:cs="Arial"/>
        </w:rPr>
        <w:t>u</w:t>
      </w:r>
      <w:r w:rsidR="00706642" w:rsidRPr="00706642">
        <w:rPr>
          <w:rFonts w:asciiTheme="minorHAnsi" w:hAnsiTheme="minorHAnsi" w:cs="Arial"/>
        </w:rPr>
        <w:t xml:space="preserve">nd </w:t>
      </w:r>
      <w:proofErr w:type="spellStart"/>
      <w:r w:rsidR="00706642" w:rsidRPr="00706642">
        <w:rPr>
          <w:rFonts w:asciiTheme="minorHAnsi" w:hAnsiTheme="minorHAnsi" w:cs="Arial"/>
        </w:rPr>
        <w:t>Seromen</w:t>
      </w:r>
      <w:proofErr w:type="spellEnd"/>
      <w:r w:rsidR="00706642" w:rsidRPr="00706642">
        <w:rPr>
          <w:rFonts w:asciiTheme="minorHAnsi" w:hAnsiTheme="minorHAnsi" w:cs="Arial"/>
        </w:rPr>
        <w:t xml:space="preserve"> nach LK-En</w:t>
      </w:r>
      <w:r w:rsidR="001F339A">
        <w:rPr>
          <w:rFonts w:asciiTheme="minorHAnsi" w:hAnsiTheme="minorHAnsi" w:cs="Arial"/>
        </w:rPr>
        <w:t>tnahme sowie verminderten Folgek</w:t>
      </w:r>
      <w:r w:rsidR="00706642" w:rsidRPr="00706642">
        <w:rPr>
          <w:rFonts w:asciiTheme="minorHAnsi" w:hAnsiTheme="minorHAnsi" w:cs="Arial"/>
        </w:rPr>
        <w:t>osten in der histopathologischen Begutachtung)</w:t>
      </w:r>
    </w:p>
    <w:p w:rsidR="00E36428" w:rsidRPr="00706642" w:rsidRDefault="00E36428" w:rsidP="0070664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Geringere Injektionsschmerzen</w:t>
      </w:r>
    </w:p>
    <w:p w:rsidR="002644A0" w:rsidRPr="00706642" w:rsidRDefault="002644A0" w:rsidP="0070664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706642">
        <w:rPr>
          <w:rFonts w:asciiTheme="minorHAnsi" w:hAnsiTheme="minorHAnsi" w:cs="Arial"/>
        </w:rPr>
        <w:t>höherer prädiktiver Wert der entnommenen Knoten</w:t>
      </w:r>
    </w:p>
    <w:p w:rsidR="001F339A" w:rsidRDefault="00706642" w:rsidP="00493DB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706642">
        <w:rPr>
          <w:rFonts w:asciiTheme="minorHAnsi" w:hAnsiTheme="minorHAnsi" w:cs="Arial"/>
        </w:rPr>
        <w:t>ver</w:t>
      </w:r>
      <w:r w:rsidR="00FC5AD2" w:rsidRPr="00706642">
        <w:rPr>
          <w:rFonts w:asciiTheme="minorHAnsi" w:hAnsiTheme="minorHAnsi" w:cs="Arial"/>
        </w:rPr>
        <w:t>besser</w:t>
      </w:r>
      <w:r w:rsidRPr="00706642">
        <w:rPr>
          <w:rFonts w:asciiTheme="minorHAnsi" w:hAnsiTheme="minorHAnsi" w:cs="Arial"/>
        </w:rPr>
        <w:t>t</w:t>
      </w:r>
      <w:r w:rsidR="00FC5AD2" w:rsidRPr="00706642">
        <w:rPr>
          <w:rFonts w:asciiTheme="minorHAnsi" w:hAnsiTheme="minorHAnsi" w:cs="Arial"/>
        </w:rPr>
        <w:t xml:space="preserve">es </w:t>
      </w:r>
      <w:proofErr w:type="spellStart"/>
      <w:r w:rsidR="00FC5AD2" w:rsidRPr="00706642">
        <w:rPr>
          <w:rFonts w:asciiTheme="minorHAnsi" w:hAnsiTheme="minorHAnsi" w:cs="Arial"/>
        </w:rPr>
        <w:t>Staging</w:t>
      </w:r>
      <w:proofErr w:type="spellEnd"/>
      <w:r w:rsidR="00FC5AD2" w:rsidRPr="00706642">
        <w:rPr>
          <w:rFonts w:asciiTheme="minorHAnsi" w:hAnsiTheme="minorHAnsi" w:cs="Arial"/>
        </w:rPr>
        <w:t xml:space="preserve"> und bessere Abschätzung der Prognose bzw. adäquatere Therapieplanung</w:t>
      </w:r>
    </w:p>
    <w:p w:rsidR="006A3F9F" w:rsidRPr="00E36428" w:rsidRDefault="006A3F9F" w:rsidP="00493DB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Verbesserung der Patienten bezogenen OP-Abläufe</w:t>
      </w:r>
    </w:p>
    <w:p w:rsidR="001F339A" w:rsidRPr="000508A7" w:rsidRDefault="001F339A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Welche Auswirkungen hat die Methode auf die Verweildauer im Krankenhaus?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7C3EC9" w:rsidRDefault="007C3EC9" w:rsidP="006A3F9F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Die Anwendung des Radiodiagnostikums hat keine direkte Auswirkung auf die Verweildauer des Patienten. </w:t>
      </w:r>
      <w:r w:rsidR="00D46730">
        <w:rPr>
          <w:rFonts w:asciiTheme="minorHAnsi" w:hAnsiTheme="minorHAnsi" w:cs="Arial"/>
        </w:rPr>
        <w:t xml:space="preserve">Es kann gegenwärtig </w:t>
      </w:r>
      <w:r w:rsidR="006A3F9F">
        <w:rPr>
          <w:rFonts w:asciiTheme="minorHAnsi" w:hAnsiTheme="minorHAnsi" w:cs="Arial"/>
        </w:rPr>
        <w:t>nur angenommen</w:t>
      </w:r>
      <w:r w:rsidR="00D46730">
        <w:rPr>
          <w:rFonts w:asciiTheme="minorHAnsi" w:hAnsiTheme="minorHAnsi" w:cs="Arial"/>
        </w:rPr>
        <w:t xml:space="preserve"> werden, </w:t>
      </w:r>
      <w:r w:rsidR="006A3F9F">
        <w:rPr>
          <w:rFonts w:asciiTheme="minorHAnsi" w:hAnsiTheme="minorHAnsi" w:cs="Arial"/>
        </w:rPr>
        <w:t>dass</w:t>
      </w:r>
      <w:r>
        <w:rPr>
          <w:rFonts w:asciiTheme="minorHAnsi" w:hAnsiTheme="minorHAnsi" w:cs="Arial"/>
        </w:rPr>
        <w:t xml:space="preserve"> durch die verbesserte </w:t>
      </w:r>
      <w:r>
        <w:rPr>
          <w:rFonts w:asciiTheme="minorHAnsi" w:hAnsiTheme="minorHAnsi" w:cs="Arial"/>
        </w:rPr>
        <w:lastRenderedPageBreak/>
        <w:t xml:space="preserve">Detektion der Sentinel-Lymphknoten mittels </w:t>
      </w:r>
      <w:r w:rsidR="00432FA8" w:rsidRPr="00493DBC">
        <w:rPr>
          <w:rFonts w:asciiTheme="minorHAnsi" w:hAnsiTheme="minorHAnsi" w:cs="Arial"/>
        </w:rPr>
        <w:t>[</w:t>
      </w:r>
      <w:r w:rsidR="00432FA8" w:rsidRPr="00493DBC">
        <w:rPr>
          <w:rFonts w:asciiTheme="minorHAnsi" w:hAnsiTheme="minorHAnsi" w:cs="Arial"/>
          <w:vertAlign w:val="superscript"/>
        </w:rPr>
        <w:t>99m</w:t>
      </w:r>
      <w:r w:rsidR="006178AE">
        <w:rPr>
          <w:rFonts w:asciiTheme="minorHAnsi" w:hAnsiTheme="minorHAnsi" w:cs="Arial"/>
        </w:rPr>
        <w:t>Tc]</w:t>
      </w:r>
      <w:r w:rsidR="00261AC5">
        <w:rPr>
          <w:rFonts w:asciiTheme="minorHAnsi" w:hAnsiTheme="minorHAnsi" w:cs="Arial"/>
        </w:rPr>
        <w:t xml:space="preserve"> </w:t>
      </w:r>
      <w:proofErr w:type="spellStart"/>
      <w:r w:rsidR="006178AE">
        <w:rPr>
          <w:rFonts w:asciiTheme="minorHAnsi" w:hAnsiTheme="minorHAnsi" w:cs="Arial"/>
        </w:rPr>
        <w:t>Tilmanocept</w:t>
      </w:r>
      <w:proofErr w:type="spellEnd"/>
      <w:r w:rsidR="006178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die Anzahl an Folgeinfektionen und daraus resultie</w:t>
      </w:r>
      <w:r w:rsidR="00050CD9">
        <w:rPr>
          <w:rFonts w:asciiTheme="minorHAnsi" w:hAnsiTheme="minorHAnsi" w:cs="Arial"/>
        </w:rPr>
        <w:t>rende</w:t>
      </w:r>
      <w:r>
        <w:rPr>
          <w:rFonts w:asciiTheme="minorHAnsi" w:hAnsiTheme="minorHAnsi" w:cs="Arial"/>
        </w:rPr>
        <w:t xml:space="preserve"> Wiederaufnahmen reduziert werden.</w:t>
      </w:r>
      <w:r w:rsidR="002D6386" w:rsidRPr="002D6386">
        <w:rPr>
          <w:rFonts w:asciiTheme="minorHAnsi" w:hAnsiTheme="minorHAnsi" w:cs="Arial"/>
        </w:rPr>
        <w:t xml:space="preserve"> </w:t>
      </w:r>
      <w:r w:rsidR="00D46730">
        <w:rPr>
          <w:rFonts w:asciiTheme="minorHAnsi" w:hAnsiTheme="minorHAnsi" w:cs="Arial"/>
        </w:rPr>
        <w:t xml:space="preserve">Ebenso wenig kann </w:t>
      </w:r>
      <w:r w:rsidR="00BF6ED9">
        <w:rPr>
          <w:rFonts w:asciiTheme="minorHAnsi" w:hAnsiTheme="minorHAnsi" w:cs="Arial"/>
        </w:rPr>
        <w:t xml:space="preserve">aus den bislang zur Verfügung stehenden Daten abgeschätzt </w:t>
      </w:r>
      <w:r w:rsidR="00D46730">
        <w:rPr>
          <w:rFonts w:asciiTheme="minorHAnsi" w:hAnsiTheme="minorHAnsi" w:cs="Arial"/>
        </w:rPr>
        <w:t>werden, ob</w:t>
      </w:r>
      <w:r w:rsidR="002D6386">
        <w:rPr>
          <w:rFonts w:asciiTheme="minorHAnsi" w:hAnsiTheme="minorHAnsi" w:cs="Arial"/>
        </w:rPr>
        <w:t xml:space="preserve"> ein </w:t>
      </w:r>
      <w:r w:rsidR="001F339A">
        <w:rPr>
          <w:rFonts w:asciiTheme="minorHAnsi" w:hAnsiTheme="minorHAnsi" w:cs="Arial"/>
        </w:rPr>
        <w:t xml:space="preserve">besseres </w:t>
      </w:r>
      <w:proofErr w:type="spellStart"/>
      <w:r w:rsidR="001F339A">
        <w:rPr>
          <w:rFonts w:asciiTheme="minorHAnsi" w:hAnsiTheme="minorHAnsi" w:cs="Arial"/>
        </w:rPr>
        <w:t>Staging</w:t>
      </w:r>
      <w:proofErr w:type="spellEnd"/>
      <w:r w:rsidR="00D46730">
        <w:rPr>
          <w:rFonts w:asciiTheme="minorHAnsi" w:hAnsiTheme="minorHAnsi" w:cs="Arial"/>
        </w:rPr>
        <w:t>, welches</w:t>
      </w:r>
      <w:r w:rsidR="002D6386" w:rsidRPr="00493DBC">
        <w:rPr>
          <w:rFonts w:asciiTheme="minorHAnsi" w:hAnsiTheme="minorHAnsi" w:cs="Arial"/>
        </w:rPr>
        <w:t xml:space="preserve"> eine bessere Abschätzung der Prognose bzw. ei</w:t>
      </w:r>
      <w:r w:rsidR="002D6386">
        <w:rPr>
          <w:rFonts w:asciiTheme="minorHAnsi" w:hAnsiTheme="minorHAnsi" w:cs="Arial"/>
        </w:rPr>
        <w:t>ne adäquatere Therapieplanung ermöglicht</w:t>
      </w:r>
      <w:r w:rsidR="009654A3">
        <w:rPr>
          <w:rFonts w:asciiTheme="minorHAnsi" w:hAnsiTheme="minorHAnsi" w:cs="Arial"/>
        </w:rPr>
        <w:t>,</w:t>
      </w:r>
      <w:r w:rsidR="002D6386">
        <w:rPr>
          <w:rFonts w:asciiTheme="minorHAnsi" w:hAnsiTheme="minorHAnsi" w:cs="Arial"/>
        </w:rPr>
        <w:t xml:space="preserve"> </w:t>
      </w:r>
      <w:r w:rsidR="00D46730">
        <w:rPr>
          <w:rFonts w:asciiTheme="minorHAnsi" w:hAnsiTheme="minorHAnsi" w:cs="Arial"/>
        </w:rPr>
        <w:t xml:space="preserve">perspektivisch zu einer Verweildauerreduzierung führen kann </w:t>
      </w:r>
      <w:r w:rsidR="002D6386">
        <w:rPr>
          <w:rFonts w:asciiTheme="minorHAnsi" w:hAnsiTheme="minorHAnsi" w:cs="Arial"/>
        </w:rPr>
        <w:t>(</w:t>
      </w:r>
      <w:r w:rsidR="002D6386" w:rsidRPr="00493DBC">
        <w:rPr>
          <w:rFonts w:asciiTheme="minorHAnsi" w:hAnsiTheme="minorHAnsi" w:cs="Arial"/>
        </w:rPr>
        <w:t xml:space="preserve">Baker 2015, </w:t>
      </w:r>
      <w:r w:rsidR="002D6386" w:rsidRPr="00AE015F">
        <w:rPr>
          <w:rFonts w:asciiTheme="minorHAnsi" w:hAnsiTheme="minorHAnsi" w:cs="Arial"/>
        </w:rPr>
        <w:t>Ban 2011</w:t>
      </w:r>
      <w:r w:rsidR="002D6386" w:rsidRPr="00C57961">
        <w:rPr>
          <w:rFonts w:asciiTheme="minorHAnsi" w:hAnsiTheme="minorHAnsi" w:cs="Arial"/>
        </w:rPr>
        <w:t>,</w:t>
      </w:r>
      <w:r w:rsidR="002D6386">
        <w:rPr>
          <w:rFonts w:asciiTheme="minorHAnsi" w:hAnsiTheme="minorHAnsi" w:cs="Arial"/>
        </w:rPr>
        <w:t xml:space="preserve"> </w:t>
      </w:r>
      <w:proofErr w:type="spellStart"/>
      <w:r w:rsidR="002D6386">
        <w:rPr>
          <w:rFonts w:asciiTheme="minorHAnsi" w:hAnsiTheme="minorHAnsi" w:cs="Arial"/>
        </w:rPr>
        <w:t>Sondak</w:t>
      </w:r>
      <w:proofErr w:type="spellEnd"/>
      <w:r w:rsidR="002D6386">
        <w:rPr>
          <w:rFonts w:asciiTheme="minorHAnsi" w:hAnsiTheme="minorHAnsi" w:cs="Arial"/>
        </w:rPr>
        <w:t xml:space="preserve"> 2013,</w:t>
      </w:r>
      <w:r w:rsidR="002D6386" w:rsidRPr="00C57961">
        <w:rPr>
          <w:rFonts w:asciiTheme="minorHAnsi" w:hAnsiTheme="minorHAnsi" w:cs="Arial"/>
        </w:rPr>
        <w:t xml:space="preserve"> Wi</w:t>
      </w:r>
      <w:r w:rsidR="00E36428">
        <w:rPr>
          <w:rFonts w:asciiTheme="minorHAnsi" w:hAnsiTheme="minorHAnsi" w:cs="Arial"/>
        </w:rPr>
        <w:t>lke 2006</w:t>
      </w:r>
      <w:r w:rsidR="002D6386" w:rsidRPr="00C57961">
        <w:rPr>
          <w:rFonts w:asciiTheme="minorHAnsi" w:hAnsiTheme="minorHAnsi" w:cs="Arial"/>
        </w:rPr>
        <w:t>, Zakaria 2007</w:t>
      </w:r>
      <w:r w:rsidR="002D6386">
        <w:rPr>
          <w:rFonts w:asciiTheme="minorHAnsi" w:hAnsiTheme="minorHAnsi" w:cs="Arial"/>
        </w:rPr>
        <w:t>).</w:t>
      </w:r>
      <w:r>
        <w:rPr>
          <w:rFonts w:asciiTheme="minorHAnsi" w:hAnsiTheme="minorHAnsi" w:cs="Arial"/>
        </w:rPr>
        <w:t xml:space="preserve"> </w:t>
      </w:r>
    </w:p>
    <w:p w:rsidR="001F339A" w:rsidRPr="001B30EC" w:rsidRDefault="001F339A" w:rsidP="006B42DB">
      <w:pPr>
        <w:spacing w:line="276" w:lineRule="auto"/>
        <w:outlineLvl w:val="0"/>
        <w:rPr>
          <w:rFonts w:asciiTheme="minorHAnsi" w:hAnsiTheme="minorHAnsi" w:cs="Arial"/>
          <w:u w:val="single"/>
          <w:lang w:val="nb-NO"/>
        </w:rPr>
      </w:pPr>
      <w:r w:rsidRPr="001B30EC">
        <w:rPr>
          <w:rFonts w:asciiTheme="minorHAnsi" w:hAnsiTheme="minorHAnsi" w:cs="Arial"/>
          <w:u w:val="single"/>
          <w:lang w:val="nb-NO"/>
        </w:rPr>
        <w:t>Quellen: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Agrawal A</w:t>
      </w:r>
      <w:r>
        <w:rPr>
          <w:rFonts w:asciiTheme="minorHAnsi" w:hAnsiTheme="minorHAnsi" w:cs="Arial"/>
          <w:lang w:val="da-DK"/>
        </w:rPr>
        <w:t>,</w:t>
      </w:r>
      <w:r w:rsidRPr="00582D1B">
        <w:rPr>
          <w:rFonts w:asciiTheme="minorHAnsi" w:hAnsiTheme="minorHAnsi" w:cs="Arial"/>
          <w:lang w:val="da-DK"/>
        </w:rPr>
        <w:t xml:space="preserve"> et al. (2015): Ann Surg Oncol; 22(11): 3708-15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Azad AK, et al. (2015)</w:t>
      </w:r>
      <w:r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J Immunol 2015; 195(5): 2019-2029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Baker J</w:t>
      </w:r>
      <w:r>
        <w:rPr>
          <w:rFonts w:asciiTheme="minorHAnsi" w:hAnsiTheme="minorHAnsi" w:cs="Arial"/>
          <w:lang w:val="da-DK"/>
        </w:rPr>
        <w:t>L,</w:t>
      </w:r>
      <w:r w:rsidRPr="00582D1B">
        <w:rPr>
          <w:rFonts w:asciiTheme="minorHAnsi" w:hAnsiTheme="minorHAnsi" w:cs="Arial"/>
          <w:lang w:val="da-DK"/>
        </w:rPr>
        <w:t xml:space="preserve"> et al. (2015): Ann Surg Oncol; 22(1): 40-5</w:t>
      </w:r>
    </w:p>
    <w:p w:rsidR="002B4A4C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AE015F">
        <w:rPr>
          <w:rFonts w:asciiTheme="minorHAnsi" w:hAnsiTheme="minorHAnsi" w:cs="Arial"/>
          <w:lang w:val="en-US"/>
        </w:rPr>
        <w:t xml:space="preserve">Ban </w:t>
      </w:r>
      <w:r>
        <w:rPr>
          <w:rFonts w:asciiTheme="minorHAnsi" w:hAnsiTheme="minorHAnsi" w:cs="Arial"/>
          <w:lang w:val="en-US"/>
        </w:rPr>
        <w:t xml:space="preserve">EJ, </w:t>
      </w:r>
      <w:r w:rsidRPr="00AE015F">
        <w:rPr>
          <w:rFonts w:asciiTheme="minorHAnsi" w:hAnsiTheme="minorHAnsi" w:cs="Arial"/>
          <w:lang w:val="en-US"/>
        </w:rPr>
        <w:t>et al. (2011): J Breast Cancer</w:t>
      </w:r>
      <w:r>
        <w:rPr>
          <w:rFonts w:asciiTheme="minorHAnsi" w:hAnsiTheme="minorHAnsi" w:cs="Arial"/>
          <w:lang w:val="en-US"/>
        </w:rPr>
        <w:t>;</w:t>
      </w:r>
      <w:r w:rsidRPr="00AE015F">
        <w:rPr>
          <w:rFonts w:asciiTheme="minorHAnsi" w:hAnsiTheme="minorHAnsi" w:cs="Arial"/>
          <w:lang w:val="en-US"/>
        </w:rPr>
        <w:t xml:space="preserve"> 14(4):</w:t>
      </w:r>
      <w:r>
        <w:rPr>
          <w:rFonts w:asciiTheme="minorHAnsi" w:hAnsiTheme="minorHAnsi" w:cs="Arial"/>
          <w:lang w:val="en-US"/>
        </w:rPr>
        <w:t xml:space="preserve"> </w:t>
      </w:r>
      <w:r w:rsidRPr="00AE015F">
        <w:rPr>
          <w:rFonts w:asciiTheme="minorHAnsi" w:hAnsiTheme="minorHAnsi" w:cs="Arial"/>
          <w:lang w:val="en-US"/>
        </w:rPr>
        <w:t>296-300</w:t>
      </w:r>
      <w:r>
        <w:rPr>
          <w:rFonts w:asciiTheme="minorHAnsi" w:hAnsiTheme="minorHAnsi" w:cs="Arial"/>
          <w:lang w:val="da-DK"/>
        </w:rPr>
        <w:t xml:space="preserve"> 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Civantos F</w:t>
      </w:r>
      <w:r>
        <w:rPr>
          <w:rFonts w:asciiTheme="minorHAnsi" w:hAnsiTheme="minorHAnsi" w:cs="Arial"/>
          <w:lang w:val="da-DK"/>
        </w:rPr>
        <w:t>J,</w:t>
      </w:r>
      <w:r w:rsidRPr="00582D1B">
        <w:rPr>
          <w:rFonts w:asciiTheme="minorHAnsi" w:hAnsiTheme="minorHAnsi" w:cs="Arial"/>
          <w:lang w:val="da-DK"/>
        </w:rPr>
        <w:t xml:space="preserve"> et al. (2010): J Clin Oncol; 28(8): 1395-1400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 xml:space="preserve">Fachinformation zu </w:t>
      </w:r>
      <w:r w:rsidR="008052DE">
        <w:rPr>
          <w:rFonts w:asciiTheme="minorHAnsi" w:hAnsiTheme="minorHAnsi" w:cs="Arial"/>
          <w:lang w:val="da-DK"/>
        </w:rPr>
        <w:t>LYMPHOSEEK</w:t>
      </w:r>
      <w:r w:rsidRPr="00582D1B">
        <w:rPr>
          <w:rFonts w:asciiTheme="minorHAnsi" w:hAnsiTheme="minorHAnsi" w:cs="Arial"/>
          <w:lang w:val="da-DK"/>
        </w:rPr>
        <w:t>Ò Stand: September 2017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Marcinow AM</w:t>
      </w:r>
      <w:r>
        <w:rPr>
          <w:rFonts w:asciiTheme="minorHAnsi" w:hAnsiTheme="minorHAnsi" w:cs="Arial"/>
          <w:lang w:val="da-DK"/>
        </w:rPr>
        <w:t>,</w:t>
      </w:r>
      <w:r w:rsidRPr="00582D1B">
        <w:rPr>
          <w:rFonts w:asciiTheme="minorHAnsi" w:hAnsiTheme="minorHAnsi" w:cs="Arial"/>
          <w:lang w:val="da-DK"/>
        </w:rPr>
        <w:t xml:space="preserve"> et al. (2013): JAMA Otolaryngol Head Neck Surg; 139(9): 895-902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Monroe MM, et al. (2012)</w:t>
      </w:r>
      <w:r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Otolaryngol Clin North Am 2012; 45(5): 1181-1193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Monroe MM, et al. (2014)</w:t>
      </w:r>
      <w:r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Curr Oncol Rep 2014; 16(5): 385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Murer K, et al. (201</w:t>
      </w:r>
      <w:r>
        <w:rPr>
          <w:rFonts w:asciiTheme="minorHAnsi" w:hAnsiTheme="minorHAnsi" w:cs="Arial"/>
          <w:lang w:val="da-DK"/>
        </w:rPr>
        <w:t>1</w:t>
      </w:r>
      <w:r w:rsidRPr="00582D1B">
        <w:rPr>
          <w:rFonts w:asciiTheme="minorHAnsi" w:hAnsiTheme="minorHAnsi" w:cs="Arial"/>
          <w:lang w:val="da-DK"/>
        </w:rPr>
        <w:t>)</w:t>
      </w:r>
      <w:r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Head Neck 2011; 33(9): 1260-1264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O'Connor R, et al. (2013)</w:t>
      </w:r>
      <w:r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J Craniomaxillofac Surg 2013; 41(8): 721-727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Schiefke F, et al.(2009)</w:t>
      </w:r>
      <w:r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Head Neck 2009; 31(4): 503-512</w:t>
      </w:r>
    </w:p>
    <w:p w:rsidR="002B4A4C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proofErr w:type="spellStart"/>
      <w:r>
        <w:rPr>
          <w:rFonts w:asciiTheme="minorHAnsi" w:hAnsiTheme="minorHAnsi" w:cs="Arial"/>
          <w:lang w:val="fr-FR"/>
        </w:rPr>
        <w:t>Schirbel</w:t>
      </w:r>
      <w:proofErr w:type="spellEnd"/>
      <w:r>
        <w:rPr>
          <w:rFonts w:asciiTheme="minorHAnsi" w:hAnsiTheme="minorHAnsi" w:cs="Arial"/>
          <w:lang w:val="fr-FR"/>
        </w:rPr>
        <w:t xml:space="preserve"> A,</w:t>
      </w:r>
      <w:r w:rsidRPr="001B30EC">
        <w:rPr>
          <w:rFonts w:asciiTheme="minorHAnsi" w:hAnsiTheme="minorHAnsi" w:cs="Arial"/>
          <w:lang w:val="fr-FR"/>
        </w:rPr>
        <w:t xml:space="preserve"> et al. (2006): </w:t>
      </w:r>
      <w:proofErr w:type="spellStart"/>
      <w:r w:rsidRPr="001B30EC">
        <w:rPr>
          <w:rFonts w:asciiTheme="minorHAnsi" w:hAnsiTheme="minorHAnsi" w:cs="Arial"/>
          <w:lang w:val="fr-FR"/>
        </w:rPr>
        <w:t>Pharm</w:t>
      </w:r>
      <w:proofErr w:type="spellEnd"/>
      <w:r w:rsidRPr="001B30EC">
        <w:rPr>
          <w:rFonts w:asciiTheme="minorHAnsi" w:hAnsiTheme="minorHAnsi" w:cs="Arial"/>
          <w:lang w:val="fr-FR"/>
        </w:rPr>
        <w:t xml:space="preserve"> Z; 2</w:t>
      </w:r>
      <w:r>
        <w:rPr>
          <w:rFonts w:asciiTheme="minorHAnsi" w:hAnsiTheme="minorHAnsi" w:cs="Arial"/>
          <w:lang w:val="da-DK"/>
        </w:rPr>
        <w:t xml:space="preserve"> 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Schmitz S, et al. (2009)</w:t>
      </w:r>
      <w:r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Eur Arch Otorhinolaryngol 2009; 266(3): 437-443</w:t>
      </w:r>
    </w:p>
    <w:p w:rsidR="002B4A4C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>
        <w:rPr>
          <w:rFonts w:asciiTheme="minorHAnsi" w:hAnsiTheme="minorHAnsi" w:cs="Arial"/>
          <w:lang w:val="da-DK"/>
        </w:rPr>
        <w:t xml:space="preserve">Seim NB, et al. (2016): </w:t>
      </w:r>
      <w:r w:rsidRPr="005D7050">
        <w:rPr>
          <w:rFonts w:asciiTheme="minorHAnsi" w:hAnsiTheme="minorHAnsi" w:cs="Arial"/>
          <w:lang w:val="da-DK"/>
        </w:rPr>
        <w:t>World J Otorhinolaryngol Head Neck Surg</w:t>
      </w:r>
      <w:r>
        <w:rPr>
          <w:rFonts w:asciiTheme="minorHAnsi" w:hAnsiTheme="minorHAnsi" w:cs="Arial"/>
          <w:lang w:val="da-DK"/>
        </w:rPr>
        <w:t>; 2(2): 117-125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Sondak</w:t>
      </w:r>
      <w:r>
        <w:rPr>
          <w:rFonts w:asciiTheme="minorHAnsi" w:hAnsiTheme="minorHAnsi" w:cs="Arial"/>
          <w:lang w:val="da-DK"/>
        </w:rPr>
        <w:t xml:space="preserve"> V</w:t>
      </w:r>
      <w:r w:rsidRPr="00582D1B">
        <w:rPr>
          <w:rFonts w:asciiTheme="minorHAnsi" w:hAnsiTheme="minorHAnsi" w:cs="Arial"/>
          <w:lang w:val="da-DK"/>
        </w:rPr>
        <w:t>K</w:t>
      </w:r>
      <w:r>
        <w:rPr>
          <w:rFonts w:asciiTheme="minorHAnsi" w:hAnsiTheme="minorHAnsi" w:cs="Arial"/>
          <w:lang w:val="da-DK"/>
        </w:rPr>
        <w:t>,</w:t>
      </w:r>
      <w:r w:rsidRPr="00582D1B">
        <w:rPr>
          <w:rFonts w:asciiTheme="minorHAnsi" w:hAnsiTheme="minorHAnsi" w:cs="Arial"/>
          <w:lang w:val="da-DK"/>
        </w:rPr>
        <w:t xml:space="preserve"> et al. (2013): Ann Surg Oncol; 20(2): 680-8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Unkart JT</w:t>
      </w:r>
      <w:r>
        <w:rPr>
          <w:rFonts w:asciiTheme="minorHAnsi" w:hAnsiTheme="minorHAnsi" w:cs="Arial"/>
          <w:lang w:val="da-DK"/>
        </w:rPr>
        <w:t>,</w:t>
      </w:r>
      <w:r w:rsidRPr="00582D1B">
        <w:rPr>
          <w:rFonts w:asciiTheme="minorHAnsi" w:hAnsiTheme="minorHAnsi" w:cs="Arial"/>
          <w:lang w:val="da-DK"/>
        </w:rPr>
        <w:t xml:space="preserve"> et al. (2015): Ann Surg Oncol; 22 Suppl 3: S559-565</w:t>
      </w:r>
    </w:p>
    <w:p w:rsidR="002B4A4C" w:rsidRPr="00582D1B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Vera DR, et al. J (2001)</w:t>
      </w:r>
      <w:r>
        <w:rPr>
          <w:rFonts w:asciiTheme="minorHAnsi" w:hAnsiTheme="minorHAnsi" w:cs="Arial"/>
          <w:lang w:val="da-DK"/>
        </w:rPr>
        <w:t>:</w:t>
      </w:r>
      <w:r w:rsidRPr="00582D1B">
        <w:rPr>
          <w:rFonts w:asciiTheme="minorHAnsi" w:hAnsiTheme="minorHAnsi" w:cs="Arial"/>
          <w:lang w:val="da-DK"/>
        </w:rPr>
        <w:t xml:space="preserve"> Nucl Med 2001; 42(6): 951-959</w:t>
      </w:r>
    </w:p>
    <w:p w:rsidR="002B4A4C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582D1B">
        <w:rPr>
          <w:rFonts w:asciiTheme="minorHAnsi" w:hAnsiTheme="minorHAnsi" w:cs="Arial"/>
          <w:lang w:val="da-DK"/>
        </w:rPr>
        <w:t>Wallace A</w:t>
      </w:r>
      <w:r>
        <w:rPr>
          <w:rFonts w:asciiTheme="minorHAnsi" w:hAnsiTheme="minorHAnsi" w:cs="Arial"/>
          <w:lang w:val="da-DK"/>
        </w:rPr>
        <w:t>M,</w:t>
      </w:r>
      <w:r w:rsidRPr="00582D1B">
        <w:rPr>
          <w:rFonts w:asciiTheme="minorHAnsi" w:hAnsiTheme="minorHAnsi" w:cs="Arial"/>
          <w:lang w:val="da-DK"/>
        </w:rPr>
        <w:t xml:space="preserve"> et al. (2013): Ann Surg Oncol; 20(8): 2590-9</w:t>
      </w:r>
    </w:p>
    <w:p w:rsidR="002B4A4C" w:rsidRDefault="002B4A4C" w:rsidP="002B4A4C">
      <w:pPr>
        <w:spacing w:line="276" w:lineRule="auto"/>
        <w:outlineLvl w:val="0"/>
        <w:rPr>
          <w:rFonts w:asciiTheme="minorHAnsi" w:hAnsiTheme="minorHAnsi" w:cs="Arial"/>
          <w:lang w:val="da-DK"/>
        </w:rPr>
      </w:pPr>
      <w:r w:rsidRPr="001B30EC">
        <w:rPr>
          <w:rFonts w:asciiTheme="minorHAnsi" w:hAnsiTheme="minorHAnsi" w:cs="Arial"/>
          <w:lang w:val="nb-NO"/>
        </w:rPr>
        <w:t>Wilke LG</w:t>
      </w:r>
      <w:r>
        <w:rPr>
          <w:rFonts w:asciiTheme="minorHAnsi" w:hAnsiTheme="minorHAnsi" w:cs="Arial"/>
          <w:lang w:val="nb-NO"/>
        </w:rPr>
        <w:t>,</w:t>
      </w:r>
      <w:r w:rsidRPr="001B30EC">
        <w:rPr>
          <w:rFonts w:asciiTheme="minorHAnsi" w:hAnsiTheme="minorHAnsi" w:cs="Arial"/>
          <w:lang w:val="nb-NO"/>
        </w:rPr>
        <w:t xml:space="preserve"> et al. </w:t>
      </w:r>
      <w:r w:rsidRPr="00590D84">
        <w:rPr>
          <w:rFonts w:asciiTheme="minorHAnsi" w:hAnsiTheme="minorHAnsi" w:cs="Arial"/>
          <w:lang w:val="en-US"/>
        </w:rPr>
        <w:t xml:space="preserve">(2006): Ann </w:t>
      </w:r>
      <w:proofErr w:type="spellStart"/>
      <w:r w:rsidRPr="00590D84">
        <w:rPr>
          <w:rFonts w:asciiTheme="minorHAnsi" w:hAnsiTheme="minorHAnsi" w:cs="Arial"/>
          <w:lang w:val="en-US"/>
        </w:rPr>
        <w:t>Surg</w:t>
      </w:r>
      <w:proofErr w:type="spellEnd"/>
      <w:r w:rsidRPr="00590D84">
        <w:rPr>
          <w:rFonts w:asciiTheme="minorHAnsi" w:hAnsiTheme="minorHAnsi" w:cs="Arial"/>
          <w:lang w:val="en-US"/>
        </w:rPr>
        <w:t xml:space="preserve"> </w:t>
      </w:r>
      <w:proofErr w:type="spellStart"/>
      <w:r w:rsidRPr="00590D84">
        <w:rPr>
          <w:rFonts w:asciiTheme="minorHAnsi" w:hAnsiTheme="minorHAnsi" w:cs="Arial"/>
          <w:lang w:val="en-US"/>
        </w:rPr>
        <w:t>Oncol</w:t>
      </w:r>
      <w:proofErr w:type="spellEnd"/>
      <w:r w:rsidRPr="00590D84">
        <w:rPr>
          <w:rFonts w:asciiTheme="minorHAnsi" w:hAnsiTheme="minorHAnsi" w:cs="Arial"/>
          <w:lang w:val="en-US"/>
        </w:rPr>
        <w:t>; 13(4): 491-500</w:t>
      </w:r>
      <w:r>
        <w:rPr>
          <w:rFonts w:asciiTheme="minorHAnsi" w:hAnsiTheme="minorHAnsi" w:cs="Arial"/>
          <w:lang w:val="da-DK"/>
        </w:rPr>
        <w:t xml:space="preserve"> </w:t>
      </w:r>
    </w:p>
    <w:p w:rsidR="00063177" w:rsidRPr="00CB14A9" w:rsidRDefault="00063177" w:rsidP="00063177">
      <w:pPr>
        <w:spacing w:line="276" w:lineRule="auto"/>
        <w:rPr>
          <w:rFonts w:asciiTheme="minorHAnsi" w:hAnsiTheme="minorHAnsi" w:cs="Arial"/>
        </w:rPr>
      </w:pPr>
      <w:r w:rsidRPr="000816A7">
        <w:rPr>
          <w:rFonts w:asciiTheme="minorHAnsi" w:hAnsiTheme="minorHAnsi" w:cs="Arial"/>
          <w:lang w:val="en-US"/>
        </w:rPr>
        <w:t>Zakaria S</w:t>
      </w:r>
      <w:r w:rsidR="002B4A4C">
        <w:rPr>
          <w:rFonts w:asciiTheme="minorHAnsi" w:hAnsiTheme="minorHAnsi" w:cs="Arial"/>
          <w:lang w:val="en-US"/>
        </w:rPr>
        <w:t>,</w:t>
      </w:r>
      <w:r w:rsidRPr="000816A7">
        <w:rPr>
          <w:rFonts w:asciiTheme="minorHAnsi" w:hAnsiTheme="minorHAnsi" w:cs="Arial"/>
          <w:lang w:val="en-US"/>
        </w:rPr>
        <w:t xml:space="preserve"> et al. </w:t>
      </w:r>
      <w:r w:rsidRPr="00CB14A9">
        <w:rPr>
          <w:rFonts w:asciiTheme="minorHAnsi" w:hAnsiTheme="minorHAnsi" w:cs="Arial"/>
        </w:rPr>
        <w:t xml:space="preserve">(2007): J </w:t>
      </w:r>
      <w:proofErr w:type="spellStart"/>
      <w:r w:rsidRPr="00CB14A9">
        <w:rPr>
          <w:rFonts w:asciiTheme="minorHAnsi" w:hAnsiTheme="minorHAnsi" w:cs="Arial"/>
        </w:rPr>
        <w:t>Surg</w:t>
      </w:r>
      <w:proofErr w:type="spellEnd"/>
      <w:r w:rsidRPr="00CB14A9">
        <w:rPr>
          <w:rFonts w:asciiTheme="minorHAnsi" w:hAnsiTheme="minorHAnsi" w:cs="Arial"/>
        </w:rPr>
        <w:t xml:space="preserve"> </w:t>
      </w:r>
      <w:proofErr w:type="spellStart"/>
      <w:r w:rsidRPr="00CB14A9">
        <w:rPr>
          <w:rFonts w:asciiTheme="minorHAnsi" w:hAnsiTheme="minorHAnsi" w:cs="Arial"/>
        </w:rPr>
        <w:t>Oncol</w:t>
      </w:r>
      <w:proofErr w:type="spellEnd"/>
      <w:r w:rsidRPr="00CB14A9">
        <w:rPr>
          <w:rFonts w:asciiTheme="minorHAnsi" w:hAnsiTheme="minorHAnsi" w:cs="Arial"/>
        </w:rPr>
        <w:t>; 96(7):554-9</w:t>
      </w:r>
    </w:p>
    <w:p w:rsidR="00BA18DF" w:rsidRPr="00CB14A9" w:rsidRDefault="00BA18DF" w:rsidP="00493DBC">
      <w:pPr>
        <w:spacing w:line="276" w:lineRule="auto"/>
        <w:rPr>
          <w:rFonts w:asciiTheme="minorHAnsi" w:hAnsiTheme="minorHAnsi" w:cs="Arial"/>
          <w:b/>
          <w:bCs/>
        </w:rPr>
      </w:pPr>
    </w:p>
    <w:p w:rsidR="00BA18DF" w:rsidRPr="000508A7" w:rsidRDefault="00BA18DF" w:rsidP="00497E3D">
      <w:pPr>
        <w:pStyle w:val="berschrift1"/>
      </w:pPr>
      <w:r w:rsidRPr="000508A7">
        <w:t xml:space="preserve">Kennzahlen </w:t>
      </w:r>
    </w:p>
    <w:p w:rsidR="00B80BF1" w:rsidRPr="000508A7" w:rsidRDefault="00B80BF1" w:rsidP="00493DBC">
      <w:pPr>
        <w:spacing w:line="276" w:lineRule="auto"/>
        <w:rPr>
          <w:rFonts w:asciiTheme="minorHAnsi" w:hAnsiTheme="minorHAnsi" w:cs="Arial"/>
          <w:u w:val="single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Wann wurde diese Methode in Deutschland eingeführt?</w:t>
      </w:r>
    </w:p>
    <w:p w:rsidR="00E67C8A" w:rsidRPr="000508A7" w:rsidRDefault="00E67C8A" w:rsidP="00493DBC">
      <w:pPr>
        <w:spacing w:line="276" w:lineRule="auto"/>
        <w:rPr>
          <w:rFonts w:asciiTheme="minorHAnsi" w:hAnsiTheme="minorHAnsi"/>
        </w:rPr>
      </w:pPr>
    </w:p>
    <w:p w:rsidR="009E7496" w:rsidRPr="000508A7" w:rsidRDefault="004359FA" w:rsidP="00497E3D">
      <w:pPr>
        <w:spacing w:line="276" w:lineRule="auto"/>
        <w:jc w:val="both"/>
        <w:rPr>
          <w:rFonts w:asciiTheme="minorHAnsi" w:hAnsiTheme="minorHAnsi" w:cs="Arial"/>
        </w:rPr>
      </w:pPr>
      <w:r w:rsidRPr="000508A7">
        <w:rPr>
          <w:rFonts w:asciiTheme="minorHAnsi" w:hAnsiTheme="minorHAnsi"/>
        </w:rPr>
        <w:t xml:space="preserve">Die Einführung von 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="006178AE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6178AE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6178AE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6178AE">
        <w:rPr>
          <w:rFonts w:asciiTheme="minorHAnsi" w:hAnsiTheme="minorHAnsi" w:cs="Arial"/>
        </w:rPr>
        <w:t>T</w:t>
      </w:r>
      <w:r w:rsidR="006178AE" w:rsidRPr="000508A7">
        <w:rPr>
          <w:rFonts w:asciiTheme="minorHAnsi" w:hAnsiTheme="minorHAnsi" w:cs="Arial"/>
        </w:rPr>
        <w:t>ilmanocept</w:t>
      </w:r>
      <w:proofErr w:type="spellEnd"/>
      <w:r w:rsidR="006178AE" w:rsidRPr="006178AE">
        <w:rPr>
          <w:rFonts w:asciiTheme="minorHAnsi" w:hAnsiTheme="minorHAnsi" w:cs="Arial"/>
        </w:rPr>
        <w:t>)</w:t>
      </w:r>
      <w:r w:rsidR="006178AE" w:rsidRPr="006178AE">
        <w:rPr>
          <w:rStyle w:val="label3"/>
          <w:rFonts w:asciiTheme="minorHAnsi" w:hAnsiTheme="minorHAnsi" w:cs="Arial"/>
          <w:specVanish w:val="0"/>
        </w:rPr>
        <w:t xml:space="preserve"> </w:t>
      </w:r>
      <w:r w:rsidR="00E36428">
        <w:rPr>
          <w:rFonts w:asciiTheme="minorHAnsi" w:hAnsiTheme="minorHAnsi" w:cs="Arial"/>
        </w:rPr>
        <w:t>erfolgt</w:t>
      </w:r>
      <w:r w:rsidR="006A3F9F">
        <w:rPr>
          <w:rFonts w:asciiTheme="minorHAnsi" w:hAnsiTheme="minorHAnsi" w:cs="Arial"/>
        </w:rPr>
        <w:t>e</w:t>
      </w:r>
      <w:r w:rsidR="00E36428">
        <w:rPr>
          <w:rFonts w:asciiTheme="minorHAnsi" w:hAnsiTheme="minorHAnsi" w:cs="Arial"/>
        </w:rPr>
        <w:t xml:space="preserve"> </w:t>
      </w:r>
      <w:r w:rsidRPr="000508A7">
        <w:rPr>
          <w:rFonts w:asciiTheme="minorHAnsi" w:hAnsiTheme="minorHAnsi" w:cs="Arial"/>
        </w:rPr>
        <w:t xml:space="preserve">in Deutschland </w:t>
      </w:r>
      <w:r w:rsidR="00792825">
        <w:rPr>
          <w:rFonts w:asciiTheme="minorHAnsi" w:hAnsiTheme="minorHAnsi" w:cs="Arial"/>
        </w:rPr>
        <w:t>im Jahr 2018</w:t>
      </w:r>
      <w:r w:rsidRPr="000508A7">
        <w:rPr>
          <w:rFonts w:asciiTheme="minorHAnsi" w:hAnsiTheme="minorHAnsi" w:cs="Arial"/>
        </w:rPr>
        <w:t xml:space="preserve">. Das Arzneimittel </w:t>
      </w:r>
      <w:r w:rsidR="00E36428">
        <w:rPr>
          <w:rFonts w:asciiTheme="minorHAnsi" w:hAnsiTheme="minorHAnsi" w:cs="Arial"/>
        </w:rPr>
        <w:t xml:space="preserve">kann ausschließlich im stationären Bereich (Klinikpackung, Single-Dose) angewendet werden (EMA 2017: </w:t>
      </w:r>
      <w:r w:rsidR="00E36428" w:rsidRPr="00E36428">
        <w:rPr>
          <w:rFonts w:asciiTheme="minorHAnsi" w:hAnsiTheme="minorHAnsi" w:cs="Arial"/>
        </w:rPr>
        <w:t xml:space="preserve">This </w:t>
      </w:r>
      <w:proofErr w:type="spellStart"/>
      <w:r w:rsidR="00E36428" w:rsidRPr="00E36428">
        <w:rPr>
          <w:rFonts w:asciiTheme="minorHAnsi" w:hAnsiTheme="minorHAnsi" w:cs="Arial"/>
        </w:rPr>
        <w:t>medicine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is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for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hospital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use</w:t>
      </w:r>
      <w:proofErr w:type="spellEnd"/>
      <w:r w:rsidR="00E36428" w:rsidRPr="00E36428">
        <w:rPr>
          <w:rFonts w:asciiTheme="minorHAnsi" w:hAnsiTheme="minorHAnsi" w:cs="Arial"/>
        </w:rPr>
        <w:t xml:space="preserve"> </w:t>
      </w:r>
      <w:proofErr w:type="spellStart"/>
      <w:r w:rsidR="00E36428" w:rsidRPr="00E36428">
        <w:rPr>
          <w:rFonts w:asciiTheme="minorHAnsi" w:hAnsiTheme="minorHAnsi" w:cs="Arial"/>
        </w:rPr>
        <w:t>only</w:t>
      </w:r>
      <w:proofErr w:type="spellEnd"/>
      <w:r w:rsidR="00E36428">
        <w:rPr>
          <w:rFonts w:asciiTheme="minorHAnsi" w:hAnsiTheme="minorHAnsi" w:cs="Arial"/>
        </w:rPr>
        <w:t>).</w:t>
      </w:r>
    </w:p>
    <w:p w:rsidR="004359FA" w:rsidRPr="000508A7" w:rsidRDefault="004359FA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Bei Medikamenten: Wann wurde dieses Medikament zugelassen?</w:t>
      </w:r>
    </w:p>
    <w:p w:rsidR="00E67C8A" w:rsidRPr="000508A7" w:rsidRDefault="00E67C8A" w:rsidP="00493DBC">
      <w:pPr>
        <w:spacing w:line="276" w:lineRule="auto"/>
        <w:rPr>
          <w:rFonts w:asciiTheme="minorHAnsi" w:hAnsiTheme="minorHAnsi" w:cs="Arial"/>
        </w:rPr>
      </w:pPr>
    </w:p>
    <w:p w:rsidR="00BA18DF" w:rsidRPr="001D4040" w:rsidRDefault="00E67C8A" w:rsidP="00493DBC">
      <w:pPr>
        <w:spacing w:line="276" w:lineRule="auto"/>
        <w:rPr>
          <w:rFonts w:asciiTheme="minorHAnsi" w:hAnsiTheme="minorHAnsi" w:cs="Arial"/>
        </w:rPr>
      </w:pPr>
      <w:r w:rsidRPr="000508A7">
        <w:rPr>
          <w:rFonts w:asciiTheme="minorHAnsi" w:hAnsiTheme="minorHAnsi"/>
        </w:rPr>
        <w:lastRenderedPageBreak/>
        <w:t xml:space="preserve">Die Zulassung von 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="006178AE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6178AE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6178AE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6178AE">
        <w:rPr>
          <w:rFonts w:asciiTheme="minorHAnsi" w:hAnsiTheme="minorHAnsi" w:cs="Arial"/>
        </w:rPr>
        <w:t>T</w:t>
      </w:r>
      <w:r w:rsidR="006178AE" w:rsidRPr="000508A7">
        <w:rPr>
          <w:rFonts w:asciiTheme="minorHAnsi" w:hAnsiTheme="minorHAnsi" w:cs="Arial"/>
        </w:rPr>
        <w:t>ilmanocept</w:t>
      </w:r>
      <w:proofErr w:type="spellEnd"/>
      <w:r w:rsidR="006178AE" w:rsidRPr="006178AE">
        <w:rPr>
          <w:rFonts w:asciiTheme="minorHAnsi" w:hAnsiTheme="minorHAnsi" w:cs="Arial"/>
        </w:rPr>
        <w:t>)</w:t>
      </w:r>
      <w:r w:rsidR="006178AE" w:rsidRPr="006178AE">
        <w:rPr>
          <w:rStyle w:val="label3"/>
          <w:rFonts w:asciiTheme="minorHAnsi" w:hAnsiTheme="minorHAnsi" w:cs="Arial"/>
          <w:specVanish w:val="0"/>
        </w:rPr>
        <w:t xml:space="preserve"> </w:t>
      </w:r>
      <w:r w:rsidRPr="000508A7">
        <w:rPr>
          <w:rStyle w:val="label3"/>
          <w:rFonts w:asciiTheme="minorHAnsi" w:hAnsiTheme="minorHAnsi" w:cs="Arial"/>
          <w:specVanish w:val="0"/>
        </w:rPr>
        <w:t xml:space="preserve">durch die European </w:t>
      </w:r>
      <w:proofErr w:type="spellStart"/>
      <w:r w:rsidRPr="000508A7">
        <w:rPr>
          <w:rStyle w:val="label3"/>
          <w:rFonts w:asciiTheme="minorHAnsi" w:hAnsiTheme="minorHAnsi" w:cs="Arial"/>
          <w:specVanish w:val="0"/>
        </w:rPr>
        <w:t>Medicines</w:t>
      </w:r>
      <w:proofErr w:type="spellEnd"/>
      <w:r w:rsidRPr="000508A7">
        <w:rPr>
          <w:rStyle w:val="label3"/>
          <w:rFonts w:asciiTheme="minorHAnsi" w:hAnsiTheme="minorHAnsi" w:cs="Arial"/>
          <w:specVanish w:val="0"/>
        </w:rPr>
        <w:t xml:space="preserve"> Agency erfolgt am 1</w:t>
      </w:r>
      <w:r w:rsidRPr="000508A7">
        <w:rPr>
          <w:rFonts w:asciiTheme="minorHAnsi" w:hAnsiTheme="minorHAnsi"/>
        </w:rPr>
        <w:t>9. November 2014</w:t>
      </w:r>
      <w:r w:rsidR="00381B47" w:rsidRPr="000508A7">
        <w:rPr>
          <w:rFonts w:asciiTheme="minorHAnsi" w:hAnsiTheme="minorHAnsi"/>
        </w:rPr>
        <w:t xml:space="preserve"> für die Darreichungsform als Multidose. Eine Zulassungserweiterung für die Darreichung als Single-Dose erfolgt</w:t>
      </w:r>
      <w:r w:rsidR="001B30EC">
        <w:rPr>
          <w:rFonts w:asciiTheme="minorHAnsi" w:hAnsiTheme="minorHAnsi"/>
        </w:rPr>
        <w:t>e a</w:t>
      </w:r>
      <w:r w:rsidR="0038733B">
        <w:rPr>
          <w:rFonts w:asciiTheme="minorHAnsi" w:hAnsiTheme="minorHAnsi"/>
        </w:rPr>
        <w:t>m</w:t>
      </w:r>
      <w:r w:rsidR="0008710D">
        <w:rPr>
          <w:rFonts w:asciiTheme="minorHAnsi" w:hAnsiTheme="minorHAnsi"/>
        </w:rPr>
        <w:t xml:space="preserve"> </w:t>
      </w:r>
      <w:r w:rsidR="001B30EC">
        <w:rPr>
          <w:rFonts w:asciiTheme="minorHAnsi" w:hAnsiTheme="minorHAnsi"/>
        </w:rPr>
        <w:t>12.</w:t>
      </w:r>
      <w:r w:rsidR="0038733B">
        <w:rPr>
          <w:rFonts w:asciiTheme="minorHAnsi" w:hAnsiTheme="minorHAnsi"/>
        </w:rPr>
        <w:t xml:space="preserve"> </w:t>
      </w:r>
      <w:r w:rsidR="00D779C6">
        <w:rPr>
          <w:rFonts w:asciiTheme="minorHAnsi" w:hAnsiTheme="minorHAnsi"/>
        </w:rPr>
        <w:t>Oktober</w:t>
      </w:r>
      <w:r w:rsidR="0038733B">
        <w:rPr>
          <w:rFonts w:asciiTheme="minorHAnsi" w:hAnsiTheme="minorHAnsi"/>
        </w:rPr>
        <w:t xml:space="preserve"> 2016.</w:t>
      </w:r>
      <w:r w:rsidR="00D779C6">
        <w:rPr>
          <w:rFonts w:asciiTheme="minorHAnsi" w:hAnsiTheme="minorHAnsi"/>
        </w:rPr>
        <w:t xml:space="preserve"> </w:t>
      </w:r>
    </w:p>
    <w:p w:rsidR="00E67C8A" w:rsidRPr="001D4040" w:rsidRDefault="00E67C8A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 xml:space="preserve">Wann wurde </w:t>
      </w:r>
      <w:r w:rsidR="00B9020D">
        <w:rPr>
          <w:rFonts w:asciiTheme="minorHAnsi" w:hAnsiTheme="minorHAnsi" w:cs="Arial"/>
          <w:b/>
        </w:rPr>
        <w:t xml:space="preserve">bzw. wird </w:t>
      </w:r>
      <w:r w:rsidRPr="000508A7">
        <w:rPr>
          <w:rFonts w:asciiTheme="minorHAnsi" w:hAnsiTheme="minorHAnsi" w:cs="Arial"/>
          <w:b/>
        </w:rPr>
        <w:t>die Methode in Ihrem Krankenhaus eingeführt?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8E6782" w:rsidRPr="00C810B3" w:rsidRDefault="008052DE" w:rsidP="008E6782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Angabe des Krankenhauses: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In wie vielen Kliniken wird diese Methode derzeit eingesetzt (Schätzung)?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1C3C68" w:rsidP="006A3F9F">
      <w:pPr>
        <w:spacing w:line="276" w:lineRule="auto"/>
        <w:jc w:val="both"/>
        <w:rPr>
          <w:rFonts w:asciiTheme="minorHAnsi" w:hAnsiTheme="minorHAnsi" w:cs="Arial"/>
        </w:rPr>
      </w:pPr>
      <w:r w:rsidRPr="00C810B3">
        <w:rPr>
          <w:rFonts w:asciiTheme="minorHAnsi" w:hAnsiTheme="minorHAnsi" w:cs="Arial"/>
        </w:rPr>
        <w:t xml:space="preserve">Bislang wird die Methode noch nicht </w:t>
      </w:r>
      <w:r w:rsidR="0062060B">
        <w:rPr>
          <w:rFonts w:asciiTheme="minorHAnsi" w:hAnsiTheme="minorHAnsi" w:cs="Arial"/>
        </w:rPr>
        <w:t xml:space="preserve">regelhaft </w:t>
      </w:r>
      <w:r w:rsidRPr="00C810B3">
        <w:rPr>
          <w:rFonts w:asciiTheme="minorHAnsi" w:hAnsiTheme="minorHAnsi" w:cs="Arial"/>
        </w:rPr>
        <w:t>in deutschen Kliniken eingesetzt, da ein</w:t>
      </w:r>
      <w:r>
        <w:rPr>
          <w:rFonts w:asciiTheme="minorHAnsi" w:hAnsiTheme="minorHAnsi" w:cs="Arial"/>
        </w:rPr>
        <w:t xml:space="preserve">e </w:t>
      </w:r>
      <w:r w:rsidRPr="00214346">
        <w:rPr>
          <w:rFonts w:asciiTheme="minorHAnsi" w:hAnsiTheme="minorHAnsi" w:cs="Arial"/>
        </w:rPr>
        <w:t>Markteinführung</w:t>
      </w:r>
      <w:r w:rsidRPr="00C810B3">
        <w:rPr>
          <w:rFonts w:asciiTheme="minorHAnsi" w:hAnsiTheme="minorHAnsi" w:cs="Arial"/>
        </w:rPr>
        <w:t xml:space="preserve"> der Klinikpackung erst </w:t>
      </w:r>
      <w:r w:rsidR="0062060B">
        <w:rPr>
          <w:rFonts w:asciiTheme="minorHAnsi" w:hAnsiTheme="minorHAnsi" w:cs="Arial"/>
        </w:rPr>
        <w:t>im Jahr</w:t>
      </w:r>
      <w:r w:rsidR="00E36428">
        <w:rPr>
          <w:rFonts w:asciiTheme="minorHAnsi" w:hAnsiTheme="minorHAnsi" w:cs="Arial"/>
        </w:rPr>
        <w:t xml:space="preserve"> </w:t>
      </w:r>
      <w:r w:rsidR="00E36428">
        <w:rPr>
          <w:rStyle w:val="label3"/>
          <w:rFonts w:asciiTheme="minorHAnsi" w:hAnsiTheme="minorHAnsi" w:cs="Arial"/>
          <w:specVanish w:val="0"/>
        </w:rPr>
        <w:t>2018</w:t>
      </w:r>
      <w:r w:rsidR="002A3786" w:rsidRPr="000508A7">
        <w:rPr>
          <w:rStyle w:val="label3"/>
          <w:rFonts w:asciiTheme="minorHAnsi" w:hAnsiTheme="minorHAnsi" w:cs="Arial"/>
          <w:specVanish w:val="0"/>
        </w:rPr>
        <w:t xml:space="preserve"> erfolgt</w:t>
      </w:r>
      <w:r w:rsidR="0062060B">
        <w:rPr>
          <w:rStyle w:val="label3"/>
          <w:rFonts w:asciiTheme="minorHAnsi" w:hAnsiTheme="minorHAnsi" w:cs="Arial"/>
          <w:specVanish w:val="0"/>
        </w:rPr>
        <w:t>e</w:t>
      </w:r>
      <w:r w:rsidR="002A3786" w:rsidRPr="000508A7">
        <w:rPr>
          <w:rStyle w:val="label3"/>
          <w:rFonts w:asciiTheme="minorHAnsi" w:hAnsiTheme="minorHAnsi" w:cs="Arial"/>
          <w:specVanish w:val="0"/>
        </w:rPr>
        <w:t>.</w:t>
      </w:r>
      <w:r w:rsidR="004359FA" w:rsidRPr="000508A7">
        <w:rPr>
          <w:rFonts w:asciiTheme="minorHAnsi" w:hAnsiTheme="minorHAnsi" w:cs="Arial"/>
        </w:rPr>
        <w:t xml:space="preserve"> 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Wie viele Patienten wurd</w:t>
      </w:r>
      <w:r w:rsidR="001C3C68">
        <w:rPr>
          <w:rFonts w:asciiTheme="minorHAnsi" w:hAnsiTheme="minorHAnsi" w:cs="Arial"/>
          <w:b/>
        </w:rPr>
        <w:t>en krankenhausspezifisch in 201</w:t>
      </w:r>
      <w:r w:rsidR="008052DE">
        <w:rPr>
          <w:rFonts w:asciiTheme="minorHAnsi" w:hAnsiTheme="minorHAnsi" w:cs="Arial"/>
          <w:b/>
        </w:rPr>
        <w:t>7</w:t>
      </w:r>
      <w:r w:rsidR="001C3C68">
        <w:rPr>
          <w:rFonts w:asciiTheme="minorHAnsi" w:hAnsiTheme="minorHAnsi" w:cs="Arial"/>
          <w:b/>
        </w:rPr>
        <w:t xml:space="preserve"> oder in 201</w:t>
      </w:r>
      <w:r w:rsidR="008052DE">
        <w:rPr>
          <w:rFonts w:asciiTheme="minorHAnsi" w:hAnsiTheme="minorHAnsi" w:cs="Arial"/>
          <w:b/>
        </w:rPr>
        <w:t>8</w:t>
      </w:r>
      <w:r w:rsidRPr="000508A7">
        <w:rPr>
          <w:rFonts w:asciiTheme="minorHAnsi" w:hAnsiTheme="minorHAnsi" w:cs="Arial"/>
          <w:b/>
        </w:rPr>
        <w:t xml:space="preserve"> mit dieser Methode behandelt?</w:t>
      </w:r>
    </w:p>
    <w:p w:rsidR="001C3C68" w:rsidRPr="00F5099C" w:rsidRDefault="001C3C68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8052DE" w:rsidP="00493DB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2017</w:t>
      </w:r>
      <w:r w:rsidR="00BA18DF" w:rsidRPr="00F5099C">
        <w:rPr>
          <w:rFonts w:asciiTheme="minorHAnsi" w:hAnsiTheme="minorHAnsi" w:cs="Arial"/>
          <w:highlight w:val="yellow"/>
        </w:rPr>
        <w:t>: Angabe des Krankenhauses</w:t>
      </w:r>
      <w:r w:rsidR="001C3C68" w:rsidRPr="00F5099C">
        <w:rPr>
          <w:rFonts w:asciiTheme="minorHAnsi" w:hAnsiTheme="minorHAnsi" w:cs="Arial"/>
          <w:highlight w:val="yellow"/>
        </w:rPr>
        <w:t>:</w:t>
      </w:r>
    </w:p>
    <w:p w:rsidR="00BA18DF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1B2189" w:rsidRPr="000508A7" w:rsidRDefault="008052DE" w:rsidP="001B2189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yellow"/>
        </w:rPr>
        <w:t>2018</w:t>
      </w:r>
      <w:r w:rsidR="001B2189" w:rsidRPr="00F5099C">
        <w:rPr>
          <w:rFonts w:asciiTheme="minorHAnsi" w:hAnsiTheme="minorHAnsi" w:cs="Arial"/>
          <w:highlight w:val="yellow"/>
        </w:rPr>
        <w:t>: Angabe des Krankenhauses:</w:t>
      </w:r>
    </w:p>
    <w:p w:rsidR="001B2189" w:rsidRPr="000508A7" w:rsidRDefault="001B2189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Wie viele Patienten planen Sie im Jahr 201</w:t>
      </w:r>
      <w:r w:rsidR="001B2189">
        <w:rPr>
          <w:rFonts w:asciiTheme="minorHAnsi" w:hAnsiTheme="minorHAnsi" w:cs="Arial"/>
          <w:b/>
        </w:rPr>
        <w:t>9</w:t>
      </w:r>
      <w:r w:rsidRPr="000508A7">
        <w:rPr>
          <w:rFonts w:asciiTheme="minorHAnsi" w:hAnsiTheme="minorHAnsi" w:cs="Arial"/>
          <w:b/>
        </w:rPr>
        <w:t xml:space="preserve"> mit dieser Methode zu behandeln?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1C3C68" w:rsidRPr="00C810B3" w:rsidRDefault="00BA18DF" w:rsidP="001C3C68">
      <w:pPr>
        <w:spacing w:line="276" w:lineRule="auto"/>
        <w:rPr>
          <w:rFonts w:asciiTheme="minorHAnsi" w:hAnsiTheme="minorHAnsi" w:cs="Arial"/>
        </w:rPr>
      </w:pPr>
      <w:r w:rsidRPr="00F5099C">
        <w:rPr>
          <w:rFonts w:asciiTheme="minorHAnsi" w:hAnsiTheme="minorHAnsi" w:cs="Arial"/>
          <w:highlight w:val="yellow"/>
        </w:rPr>
        <w:t>Angabe des Krankenhauses</w:t>
      </w:r>
      <w:r w:rsidR="001C3C68" w:rsidRPr="00F5099C">
        <w:rPr>
          <w:rFonts w:asciiTheme="minorHAnsi" w:hAnsiTheme="minorHAnsi" w:cs="Arial"/>
        </w:rPr>
        <w:t>:</w:t>
      </w:r>
      <w:r w:rsidR="001C3C68">
        <w:rPr>
          <w:rFonts w:asciiTheme="minorHAnsi" w:hAnsiTheme="minorHAnsi" w:cs="Arial"/>
        </w:rPr>
        <w:t xml:space="preserve"> </w:t>
      </w:r>
      <w:r w:rsidR="001C3C68" w:rsidRPr="00C810B3">
        <w:rPr>
          <w:rFonts w:asciiTheme="minorHAnsi" w:hAnsiTheme="minorHAnsi" w:cs="Arial"/>
        </w:rPr>
        <w:t>Im Rahmen der Auswertung unserer Fallzah</w:t>
      </w:r>
      <w:r w:rsidR="001F339A">
        <w:rPr>
          <w:rFonts w:asciiTheme="minorHAnsi" w:hAnsiTheme="minorHAnsi" w:cs="Arial"/>
        </w:rPr>
        <w:t xml:space="preserve">len für </w:t>
      </w:r>
      <w:r w:rsidR="001C3C68">
        <w:rPr>
          <w:rFonts w:asciiTheme="minorHAnsi" w:hAnsiTheme="minorHAnsi" w:cs="Arial"/>
        </w:rPr>
        <w:t>die</w:t>
      </w:r>
      <w:r w:rsidR="001F339A">
        <w:rPr>
          <w:rFonts w:asciiTheme="minorHAnsi" w:hAnsiTheme="minorHAnsi" w:cs="Arial"/>
        </w:rPr>
        <w:t xml:space="preserve"> Sentinel </w:t>
      </w:r>
      <w:r w:rsidR="00D779C6">
        <w:rPr>
          <w:rFonts w:asciiTheme="minorHAnsi" w:hAnsiTheme="minorHAnsi" w:cs="Arial"/>
        </w:rPr>
        <w:t>-Lymphknoten</w:t>
      </w:r>
      <w:r w:rsidR="001F339A">
        <w:rPr>
          <w:rFonts w:asciiTheme="minorHAnsi" w:hAnsiTheme="minorHAnsi" w:cs="Arial"/>
        </w:rPr>
        <w:t xml:space="preserve">-Bestimmung </w:t>
      </w:r>
      <w:r w:rsidR="00B9020D">
        <w:rPr>
          <w:rFonts w:asciiTheme="minorHAnsi" w:hAnsiTheme="minorHAnsi" w:cs="Arial"/>
        </w:rPr>
        <w:t>im Jahr 201</w:t>
      </w:r>
      <w:r w:rsidR="001B2189">
        <w:rPr>
          <w:rFonts w:asciiTheme="minorHAnsi" w:hAnsiTheme="minorHAnsi" w:cs="Arial"/>
        </w:rPr>
        <w:t>8</w:t>
      </w:r>
      <w:r w:rsidR="001C3C68" w:rsidRPr="00C810B3">
        <w:rPr>
          <w:rFonts w:asciiTheme="minorHAnsi" w:hAnsiTheme="minorHAnsi" w:cs="Arial"/>
        </w:rPr>
        <w:t xml:space="preserve"> kann davon ausgegangen werden, dass </w:t>
      </w:r>
      <w:proofErr w:type="spellStart"/>
      <w:r w:rsidR="001C3C68" w:rsidRPr="00C810B3">
        <w:rPr>
          <w:rFonts w:asciiTheme="minorHAnsi" w:hAnsiTheme="minorHAnsi" w:cs="Arial"/>
          <w:highlight w:val="yellow"/>
        </w:rPr>
        <w:t>xy</w:t>
      </w:r>
      <w:proofErr w:type="spellEnd"/>
      <w:r w:rsidR="001C3C68" w:rsidRPr="00C810B3">
        <w:rPr>
          <w:rFonts w:asciiTheme="minorHAnsi" w:hAnsiTheme="minorHAnsi" w:cs="Arial"/>
          <w:highlight w:val="yellow"/>
        </w:rPr>
        <w:t xml:space="preserve"> Patienten</w:t>
      </w:r>
      <w:r w:rsidR="001C3C68" w:rsidRPr="00C810B3">
        <w:rPr>
          <w:rFonts w:asciiTheme="minorHAnsi" w:hAnsiTheme="minorHAnsi" w:cs="Arial"/>
        </w:rPr>
        <w:t xml:space="preserve"> mit 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="002A1628" w:rsidRPr="000508A7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2A1628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2A1628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2A1628">
        <w:rPr>
          <w:rFonts w:asciiTheme="minorHAnsi" w:hAnsiTheme="minorHAnsi" w:cs="Arial"/>
        </w:rPr>
        <w:t>T</w:t>
      </w:r>
      <w:r w:rsidR="002A1628" w:rsidRPr="000508A7">
        <w:rPr>
          <w:rFonts w:asciiTheme="minorHAnsi" w:hAnsiTheme="minorHAnsi" w:cs="Arial"/>
        </w:rPr>
        <w:t>ilmanocept</w:t>
      </w:r>
      <w:proofErr w:type="spellEnd"/>
      <w:r w:rsidR="002A1628" w:rsidRPr="006178AE">
        <w:rPr>
          <w:rFonts w:asciiTheme="minorHAnsi" w:hAnsiTheme="minorHAnsi" w:cs="Arial"/>
        </w:rPr>
        <w:t>)</w:t>
      </w:r>
      <w:r w:rsidR="002A1628" w:rsidRPr="006178AE">
        <w:rPr>
          <w:rStyle w:val="label3"/>
          <w:rFonts w:asciiTheme="minorHAnsi" w:hAnsiTheme="minorHAnsi" w:cs="Arial"/>
          <w:specVanish w:val="0"/>
        </w:rPr>
        <w:t xml:space="preserve"> </w:t>
      </w:r>
      <w:r w:rsidR="008052DE">
        <w:rPr>
          <w:rStyle w:val="label3"/>
          <w:rFonts w:asciiTheme="minorHAnsi" w:hAnsiTheme="minorHAnsi" w:cs="Arial"/>
          <w:specVanish w:val="0"/>
        </w:rPr>
        <w:t xml:space="preserve">in 2019 </w:t>
      </w:r>
      <w:r w:rsidR="001C3C68" w:rsidRPr="00C810B3">
        <w:rPr>
          <w:rFonts w:asciiTheme="minorHAnsi" w:hAnsiTheme="minorHAnsi" w:cs="Arial"/>
        </w:rPr>
        <w:t>behandelt werden könnten.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  <w:b/>
          <w:bCs/>
        </w:rPr>
      </w:pPr>
      <w:r w:rsidRPr="000508A7">
        <w:rPr>
          <w:rFonts w:asciiTheme="minorHAnsi" w:hAnsiTheme="minorHAnsi" w:cs="Arial"/>
          <w:b/>
          <w:bCs/>
        </w:rPr>
        <w:br w:type="page"/>
      </w:r>
    </w:p>
    <w:p w:rsidR="00BA18DF" w:rsidRPr="000508A7" w:rsidRDefault="00BA18DF" w:rsidP="00497E3D">
      <w:pPr>
        <w:pStyle w:val="berschrift1"/>
      </w:pPr>
      <w:r w:rsidRPr="000508A7">
        <w:lastRenderedPageBreak/>
        <w:t xml:space="preserve">Mehrkosten </w:t>
      </w:r>
    </w:p>
    <w:p w:rsidR="00B80BF1" w:rsidRPr="000508A7" w:rsidRDefault="00B80BF1" w:rsidP="00493DBC">
      <w:pPr>
        <w:spacing w:line="276" w:lineRule="auto"/>
        <w:rPr>
          <w:rFonts w:asciiTheme="minorHAnsi" w:hAnsiTheme="minorHAnsi" w:cs="Arial"/>
          <w:u w:val="single"/>
        </w:rPr>
      </w:pP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  <w:b/>
        </w:rPr>
      </w:pPr>
      <w:r w:rsidRPr="000508A7">
        <w:rPr>
          <w:rFonts w:asciiTheme="minorHAnsi" w:hAnsiTheme="minorHAnsi" w:cs="Arial"/>
          <w:b/>
        </w:rPr>
        <w:t>Entstehen durch die neue Methode Mehrkosten gegenüber dem bisher üblichen Verfahren? Wenn ja, wodurch? In welcher Höhe (möglichst aufgetrennt nach Personal- und Sachkosten)?</w:t>
      </w:r>
    </w:p>
    <w:p w:rsidR="00BA18DF" w:rsidRPr="000508A7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BA18DF" w:rsidRPr="00792825" w:rsidRDefault="00B77247" w:rsidP="000358D5">
      <w:pPr>
        <w:spacing w:line="276" w:lineRule="auto"/>
        <w:jc w:val="both"/>
        <w:outlineLvl w:val="0"/>
        <w:rPr>
          <w:rFonts w:asciiTheme="minorHAnsi" w:hAnsiTheme="minorHAnsi" w:cs="Arial"/>
        </w:rPr>
      </w:pPr>
      <w:r w:rsidRPr="00792825">
        <w:rPr>
          <w:rFonts w:asciiTheme="minorHAnsi" w:hAnsiTheme="minorHAnsi" w:cs="Arial"/>
        </w:rPr>
        <w:t xml:space="preserve">Der Preis des neuen Medikaments </w:t>
      </w:r>
      <w:r w:rsidR="00AC2975" w:rsidRPr="00792825">
        <w:rPr>
          <w:rFonts w:asciiTheme="minorHAnsi" w:hAnsiTheme="minorHAnsi" w:cs="Arial"/>
        </w:rPr>
        <w:t>beträgt</w:t>
      </w:r>
      <w:r w:rsidRPr="00792825">
        <w:rPr>
          <w:rFonts w:asciiTheme="minorHAnsi" w:hAnsiTheme="minorHAnsi" w:cs="Arial"/>
        </w:rPr>
        <w:t xml:space="preserve"> </w:t>
      </w:r>
      <w:r w:rsidR="00F43112" w:rsidRPr="00792825">
        <w:rPr>
          <w:rFonts w:asciiTheme="minorHAnsi" w:hAnsiTheme="minorHAnsi" w:cs="Arial"/>
        </w:rPr>
        <w:t>1.606,50</w:t>
      </w:r>
      <w:r w:rsidR="00975930" w:rsidRPr="00792825">
        <w:rPr>
          <w:rFonts w:asciiTheme="minorHAnsi" w:hAnsiTheme="minorHAnsi" w:cs="Arial"/>
        </w:rPr>
        <w:t xml:space="preserve"> </w:t>
      </w:r>
      <w:r w:rsidRPr="00792825">
        <w:rPr>
          <w:rFonts w:asciiTheme="minorHAnsi" w:hAnsiTheme="minorHAnsi" w:cs="Arial"/>
        </w:rPr>
        <w:t>€</w:t>
      </w:r>
      <w:r w:rsidR="001F339A" w:rsidRPr="00792825">
        <w:rPr>
          <w:rFonts w:asciiTheme="minorHAnsi" w:hAnsiTheme="minorHAnsi" w:cs="Arial"/>
        </w:rPr>
        <w:t xml:space="preserve"> </w:t>
      </w:r>
      <w:r w:rsidR="00CF157A" w:rsidRPr="00792825">
        <w:rPr>
          <w:rFonts w:asciiTheme="minorHAnsi" w:hAnsiTheme="minorHAnsi" w:cs="Arial"/>
        </w:rPr>
        <w:t xml:space="preserve">(inkl. </w:t>
      </w:r>
      <w:proofErr w:type="spellStart"/>
      <w:r w:rsidR="00CF157A" w:rsidRPr="00792825">
        <w:rPr>
          <w:rFonts w:asciiTheme="minorHAnsi" w:hAnsiTheme="minorHAnsi" w:cs="Arial"/>
        </w:rPr>
        <w:t>MwSt</w:t>
      </w:r>
      <w:proofErr w:type="spellEnd"/>
      <w:r w:rsidR="00CF157A" w:rsidRPr="00792825">
        <w:rPr>
          <w:rFonts w:asciiTheme="minorHAnsi" w:hAnsiTheme="minorHAnsi" w:cs="Arial"/>
        </w:rPr>
        <w:t xml:space="preserve">) </w:t>
      </w:r>
      <w:r w:rsidR="001F339A" w:rsidRPr="00792825">
        <w:rPr>
          <w:rFonts w:asciiTheme="minorHAnsi" w:hAnsiTheme="minorHAnsi" w:cs="Arial"/>
        </w:rPr>
        <w:t>pro Anwendung</w:t>
      </w:r>
      <w:r w:rsidRPr="00792825">
        <w:rPr>
          <w:rFonts w:asciiTheme="minorHAnsi" w:hAnsiTheme="minorHAnsi" w:cs="Arial"/>
        </w:rPr>
        <w:t>.</w:t>
      </w:r>
    </w:p>
    <w:p w:rsidR="00B77247" w:rsidRPr="001173AE" w:rsidRDefault="00B77247" w:rsidP="000358D5">
      <w:pPr>
        <w:spacing w:line="276" w:lineRule="auto"/>
        <w:jc w:val="both"/>
        <w:rPr>
          <w:rFonts w:asciiTheme="minorHAnsi" w:hAnsiTheme="minorHAnsi" w:cs="Arial"/>
        </w:rPr>
      </w:pPr>
    </w:p>
    <w:p w:rsidR="001173AE" w:rsidRDefault="00126FBA" w:rsidP="000358D5">
      <w:pPr>
        <w:spacing w:line="276" w:lineRule="auto"/>
        <w:jc w:val="both"/>
        <w:rPr>
          <w:rFonts w:asciiTheme="minorHAnsi" w:hAnsiTheme="minorHAnsi" w:cs="Arial"/>
        </w:rPr>
      </w:pPr>
      <w:r w:rsidRPr="001173AE">
        <w:rPr>
          <w:rFonts w:asciiTheme="minorHAnsi" w:hAnsiTheme="minorHAnsi" w:cs="Arial"/>
        </w:rPr>
        <w:t xml:space="preserve">Bei den </w:t>
      </w:r>
      <w:r w:rsidR="00AC2975" w:rsidRPr="001173AE">
        <w:rPr>
          <w:rFonts w:asciiTheme="minorHAnsi" w:hAnsiTheme="minorHAnsi" w:cs="Arial"/>
        </w:rPr>
        <w:t>i</w:t>
      </w:r>
      <w:r w:rsidRPr="001173AE">
        <w:rPr>
          <w:rFonts w:asciiTheme="minorHAnsi" w:hAnsiTheme="minorHAnsi" w:cs="Arial"/>
        </w:rPr>
        <w:t xml:space="preserve">m Folgenden aufgeführten (ausgewählten) DRG variiert der Anteil an Arzneimittelkosten in den Kostenarten 4a und 4b </w:t>
      </w:r>
      <w:r w:rsidR="001173AE" w:rsidRPr="001173AE">
        <w:rPr>
          <w:rFonts w:asciiTheme="minorHAnsi" w:hAnsiTheme="minorHAnsi" w:cs="Arial"/>
        </w:rPr>
        <w:t xml:space="preserve">für die relevanten Kostenstellen </w:t>
      </w:r>
      <w:r w:rsidR="001173AE">
        <w:rPr>
          <w:rFonts w:asciiTheme="minorHAnsi" w:hAnsiTheme="minorHAnsi" w:cs="Arial"/>
        </w:rPr>
        <w:t>(Nr. 4, 9 und 11) z</w:t>
      </w:r>
      <w:r w:rsidRPr="001173AE">
        <w:rPr>
          <w:rFonts w:asciiTheme="minorHAnsi" w:hAnsiTheme="minorHAnsi" w:cs="Arial"/>
        </w:rPr>
        <w:t xml:space="preserve">wischen </w:t>
      </w:r>
      <w:r w:rsidR="001173AE">
        <w:rPr>
          <w:rFonts w:asciiTheme="minorHAnsi" w:hAnsiTheme="minorHAnsi" w:cs="Arial"/>
        </w:rPr>
        <w:t>0</w:t>
      </w:r>
      <w:r w:rsidR="00F64F5D" w:rsidRPr="001173AE">
        <w:rPr>
          <w:rFonts w:asciiTheme="minorHAnsi" w:hAnsiTheme="minorHAnsi" w:cs="Arial"/>
        </w:rPr>
        <w:t>,</w:t>
      </w:r>
      <w:r w:rsidR="001173AE">
        <w:rPr>
          <w:rFonts w:asciiTheme="minorHAnsi" w:hAnsiTheme="minorHAnsi" w:cs="Arial"/>
        </w:rPr>
        <w:t>21</w:t>
      </w:r>
      <w:r w:rsidRPr="001173AE">
        <w:rPr>
          <w:rFonts w:asciiTheme="minorHAnsi" w:hAnsiTheme="minorHAnsi" w:cs="Arial"/>
        </w:rPr>
        <w:t xml:space="preserve"> und </w:t>
      </w:r>
      <w:r w:rsidR="001173AE">
        <w:rPr>
          <w:rFonts w:asciiTheme="minorHAnsi" w:hAnsiTheme="minorHAnsi" w:cs="Arial"/>
        </w:rPr>
        <w:t>0,49</w:t>
      </w:r>
      <w:r w:rsidRPr="001173AE">
        <w:rPr>
          <w:rFonts w:asciiTheme="minorHAnsi" w:hAnsiTheme="minorHAnsi" w:cs="Arial"/>
        </w:rPr>
        <w:t xml:space="preserve"> Prozent (absolut: </w:t>
      </w:r>
      <w:r w:rsidR="001173AE">
        <w:rPr>
          <w:rFonts w:asciiTheme="minorHAnsi" w:hAnsiTheme="minorHAnsi" w:cs="Arial"/>
        </w:rPr>
        <w:t>7</w:t>
      </w:r>
      <w:r w:rsidR="00F64F5D" w:rsidRPr="001173AE">
        <w:rPr>
          <w:rFonts w:asciiTheme="minorHAnsi" w:hAnsiTheme="minorHAnsi" w:cs="Arial"/>
        </w:rPr>
        <w:t>,</w:t>
      </w:r>
      <w:r w:rsidR="001173AE">
        <w:rPr>
          <w:rFonts w:asciiTheme="minorHAnsi" w:hAnsiTheme="minorHAnsi" w:cs="Arial"/>
        </w:rPr>
        <w:t>8</w:t>
      </w:r>
      <w:r w:rsidR="00F64F5D" w:rsidRPr="001173AE">
        <w:rPr>
          <w:rFonts w:asciiTheme="minorHAnsi" w:hAnsiTheme="minorHAnsi" w:cs="Arial"/>
        </w:rPr>
        <w:t>5€</w:t>
      </w:r>
      <w:r w:rsidRPr="001173AE">
        <w:rPr>
          <w:rFonts w:asciiTheme="minorHAnsi" w:hAnsiTheme="minorHAnsi" w:cs="Arial"/>
        </w:rPr>
        <w:t xml:space="preserve"> € bis </w:t>
      </w:r>
      <w:r w:rsidR="001173AE">
        <w:rPr>
          <w:rFonts w:asciiTheme="minorHAnsi" w:hAnsiTheme="minorHAnsi" w:cs="Arial"/>
        </w:rPr>
        <w:t>25</w:t>
      </w:r>
      <w:r w:rsidR="001C6EA1" w:rsidRPr="001173AE">
        <w:rPr>
          <w:rFonts w:asciiTheme="minorHAnsi" w:hAnsiTheme="minorHAnsi" w:cs="Arial"/>
        </w:rPr>
        <w:t>,</w:t>
      </w:r>
      <w:r w:rsidR="001173AE">
        <w:rPr>
          <w:rFonts w:asciiTheme="minorHAnsi" w:hAnsiTheme="minorHAnsi" w:cs="Arial"/>
        </w:rPr>
        <w:t>75</w:t>
      </w:r>
      <w:r w:rsidRPr="001173AE">
        <w:rPr>
          <w:rFonts w:asciiTheme="minorHAnsi" w:hAnsiTheme="minorHAnsi" w:cs="Arial"/>
        </w:rPr>
        <w:t> €) (Berechnung mittels In</w:t>
      </w:r>
      <w:r w:rsidR="001F339A" w:rsidRPr="001173AE">
        <w:rPr>
          <w:rFonts w:asciiTheme="minorHAnsi" w:hAnsiTheme="minorHAnsi" w:cs="Arial"/>
        </w:rPr>
        <w:t>EK</w:t>
      </w:r>
      <w:r w:rsidR="00AC2975" w:rsidRPr="001173AE">
        <w:rPr>
          <w:rFonts w:asciiTheme="minorHAnsi" w:hAnsiTheme="minorHAnsi" w:cs="Arial"/>
        </w:rPr>
        <w:t>-Browser 201</w:t>
      </w:r>
      <w:r w:rsidR="001173AE">
        <w:rPr>
          <w:rFonts w:asciiTheme="minorHAnsi" w:hAnsiTheme="minorHAnsi" w:cs="Arial"/>
        </w:rPr>
        <w:t>6</w:t>
      </w:r>
      <w:r w:rsidR="00AC2975" w:rsidRPr="001173AE">
        <w:rPr>
          <w:rFonts w:asciiTheme="minorHAnsi" w:hAnsiTheme="minorHAnsi" w:cs="Arial"/>
        </w:rPr>
        <w:t>-201</w:t>
      </w:r>
      <w:r w:rsidR="001173AE">
        <w:rPr>
          <w:rFonts w:asciiTheme="minorHAnsi" w:hAnsiTheme="minorHAnsi" w:cs="Arial"/>
        </w:rPr>
        <w:t>8</w:t>
      </w:r>
      <w:r w:rsidRPr="001173AE">
        <w:rPr>
          <w:rFonts w:asciiTheme="minorHAnsi" w:hAnsiTheme="minorHAnsi" w:cs="Arial"/>
        </w:rPr>
        <w:t xml:space="preserve">). </w:t>
      </w:r>
    </w:p>
    <w:p w:rsidR="001173AE" w:rsidRDefault="001173AE" w:rsidP="000358D5">
      <w:pPr>
        <w:spacing w:line="276" w:lineRule="auto"/>
        <w:jc w:val="both"/>
        <w:rPr>
          <w:rFonts w:asciiTheme="minorHAnsi" w:hAnsiTheme="minorHAnsi" w:cs="Arial"/>
        </w:rPr>
      </w:pPr>
    </w:p>
    <w:p w:rsidR="00B77247" w:rsidRPr="001173AE" w:rsidRDefault="00975930" w:rsidP="000358D5">
      <w:pPr>
        <w:spacing w:line="276" w:lineRule="auto"/>
        <w:jc w:val="both"/>
        <w:rPr>
          <w:rFonts w:asciiTheme="minorHAnsi" w:hAnsiTheme="minorHAnsi" w:cs="Arial"/>
        </w:rPr>
      </w:pPr>
      <w:r w:rsidRPr="001173AE">
        <w:rPr>
          <w:rFonts w:asciiTheme="minorHAnsi" w:hAnsiTheme="minorHAnsi" w:cs="Arial"/>
        </w:rPr>
        <w:t>Werden die Kosten des medizinischen Sachbe</w:t>
      </w:r>
      <w:r w:rsidR="001173AE">
        <w:rPr>
          <w:rFonts w:asciiTheme="minorHAnsi" w:hAnsiTheme="minorHAnsi" w:cs="Arial"/>
        </w:rPr>
        <w:t xml:space="preserve">darfs in den Kostenarten 6a, </w:t>
      </w:r>
      <w:r w:rsidRPr="001173AE">
        <w:rPr>
          <w:rFonts w:asciiTheme="minorHAnsi" w:hAnsiTheme="minorHAnsi" w:cs="Arial"/>
        </w:rPr>
        <w:t xml:space="preserve">6b </w:t>
      </w:r>
      <w:r w:rsidR="001173AE">
        <w:rPr>
          <w:rFonts w:asciiTheme="minorHAnsi" w:hAnsiTheme="minorHAnsi" w:cs="Arial"/>
        </w:rPr>
        <w:t xml:space="preserve">und 6c </w:t>
      </w:r>
      <w:r w:rsidR="001173AE" w:rsidRPr="001173AE">
        <w:rPr>
          <w:rFonts w:asciiTheme="minorHAnsi" w:hAnsiTheme="minorHAnsi" w:cs="Arial"/>
        </w:rPr>
        <w:t xml:space="preserve">für die relevanten Kostenstellen </w:t>
      </w:r>
      <w:r w:rsidR="001173AE">
        <w:rPr>
          <w:rFonts w:asciiTheme="minorHAnsi" w:hAnsiTheme="minorHAnsi" w:cs="Arial"/>
        </w:rPr>
        <w:t xml:space="preserve">(Nr. 4, 9 und 11) </w:t>
      </w:r>
      <w:r w:rsidRPr="001173AE">
        <w:rPr>
          <w:rFonts w:asciiTheme="minorHAnsi" w:hAnsiTheme="minorHAnsi" w:cs="Arial"/>
        </w:rPr>
        <w:t xml:space="preserve">in die Betrachtung mit einbezogen (da möglicher Weise bestimmte Verfahren der Sentinel-Lymphknoten-Markierung mit Medizinprodukten und nicht mit Arzneimitteln erfolgen bzw. die Kosten einer Fremdvergabe von Sentinel-Lymphknotenuntersuchungen hier buchungstechnisch aufscheinen würden), ergibt sich folgendes Ergebnis: Die Kosten </w:t>
      </w:r>
      <w:r w:rsidR="00A40C5E" w:rsidRPr="001173AE">
        <w:rPr>
          <w:rFonts w:asciiTheme="minorHAnsi" w:hAnsiTheme="minorHAnsi" w:cs="Arial"/>
        </w:rPr>
        <w:t>dieser</w:t>
      </w:r>
      <w:r w:rsidRPr="001173AE">
        <w:rPr>
          <w:rFonts w:asciiTheme="minorHAnsi" w:hAnsiTheme="minorHAnsi" w:cs="Arial"/>
        </w:rPr>
        <w:t xml:space="preserve"> Kostenarten liegen in den aufgeführten (ausgewählten) DRG zwischen </w:t>
      </w:r>
      <w:r w:rsidR="001173AE">
        <w:rPr>
          <w:rFonts w:asciiTheme="minorHAnsi" w:hAnsiTheme="minorHAnsi" w:cs="Arial"/>
        </w:rPr>
        <w:t>3</w:t>
      </w:r>
      <w:r w:rsidR="007869F5">
        <w:rPr>
          <w:rFonts w:asciiTheme="minorHAnsi" w:hAnsiTheme="minorHAnsi" w:cs="Arial"/>
        </w:rPr>
        <w:t>,53</w:t>
      </w:r>
      <w:r w:rsidR="00C60BB0" w:rsidRPr="001173AE">
        <w:rPr>
          <w:rFonts w:asciiTheme="minorHAnsi" w:hAnsiTheme="minorHAnsi" w:cs="Arial"/>
        </w:rPr>
        <w:t> </w:t>
      </w:r>
      <w:r w:rsidRPr="001173AE">
        <w:rPr>
          <w:rFonts w:asciiTheme="minorHAnsi" w:hAnsiTheme="minorHAnsi" w:cs="Arial"/>
        </w:rPr>
        <w:t xml:space="preserve">% </w:t>
      </w:r>
      <w:r w:rsidR="007869F5">
        <w:rPr>
          <w:rFonts w:asciiTheme="minorHAnsi" w:hAnsiTheme="minorHAnsi" w:cs="Arial"/>
        </w:rPr>
        <w:t>und 9</w:t>
      </w:r>
      <w:r w:rsidR="00A40C5E" w:rsidRPr="001173AE">
        <w:rPr>
          <w:rFonts w:asciiTheme="minorHAnsi" w:hAnsiTheme="minorHAnsi" w:cs="Arial"/>
        </w:rPr>
        <w:t>,</w:t>
      </w:r>
      <w:r w:rsidR="007869F5">
        <w:rPr>
          <w:rFonts w:asciiTheme="minorHAnsi" w:hAnsiTheme="minorHAnsi" w:cs="Arial"/>
        </w:rPr>
        <w:t>05</w:t>
      </w:r>
      <w:r w:rsidR="00A40C5E" w:rsidRPr="001173AE">
        <w:rPr>
          <w:rFonts w:asciiTheme="minorHAnsi" w:hAnsiTheme="minorHAnsi" w:cs="Arial"/>
        </w:rPr>
        <w:t xml:space="preserve"> % </w:t>
      </w:r>
      <w:r w:rsidRPr="001173AE">
        <w:rPr>
          <w:rFonts w:asciiTheme="minorHAnsi" w:hAnsiTheme="minorHAnsi" w:cs="Arial"/>
        </w:rPr>
        <w:t>der Gesamtkosten (absolut:</w:t>
      </w:r>
      <w:r w:rsidR="00C60BB0" w:rsidRPr="001173AE">
        <w:rPr>
          <w:rFonts w:asciiTheme="minorHAnsi" w:hAnsiTheme="minorHAnsi" w:cs="Arial"/>
        </w:rPr>
        <w:t xml:space="preserve"> </w:t>
      </w:r>
      <w:r w:rsidR="007869F5">
        <w:rPr>
          <w:rFonts w:asciiTheme="minorHAnsi" w:hAnsiTheme="minorHAnsi" w:cs="Arial"/>
        </w:rPr>
        <w:t>101,20</w:t>
      </w:r>
      <w:r w:rsidR="00A40C5E" w:rsidRPr="001173AE">
        <w:rPr>
          <w:rFonts w:asciiTheme="minorHAnsi" w:hAnsiTheme="minorHAnsi" w:cs="Arial"/>
        </w:rPr>
        <w:t> €</w:t>
      </w:r>
      <w:r w:rsidR="00C60BB0" w:rsidRPr="001173AE">
        <w:rPr>
          <w:rFonts w:asciiTheme="minorHAnsi" w:hAnsiTheme="minorHAnsi" w:cs="Arial"/>
        </w:rPr>
        <w:t xml:space="preserve"> bis </w:t>
      </w:r>
      <w:r w:rsidR="007869F5">
        <w:rPr>
          <w:rFonts w:asciiTheme="minorHAnsi" w:hAnsiTheme="minorHAnsi" w:cs="Arial"/>
        </w:rPr>
        <w:t>518</w:t>
      </w:r>
      <w:r w:rsidR="00A40C5E" w:rsidRPr="001173AE">
        <w:rPr>
          <w:rFonts w:asciiTheme="minorHAnsi" w:hAnsiTheme="minorHAnsi" w:cs="Arial"/>
        </w:rPr>
        <w:t>,</w:t>
      </w:r>
      <w:r w:rsidR="007869F5">
        <w:rPr>
          <w:rFonts w:asciiTheme="minorHAnsi" w:hAnsiTheme="minorHAnsi" w:cs="Arial"/>
        </w:rPr>
        <w:t>45</w:t>
      </w:r>
      <w:r w:rsidR="00C60BB0" w:rsidRPr="001173AE">
        <w:rPr>
          <w:rFonts w:asciiTheme="minorHAnsi" w:hAnsiTheme="minorHAnsi" w:cs="Arial"/>
        </w:rPr>
        <w:t> </w:t>
      </w:r>
      <w:r w:rsidRPr="001173AE">
        <w:rPr>
          <w:rFonts w:asciiTheme="minorHAnsi" w:hAnsiTheme="minorHAnsi" w:cs="Arial"/>
        </w:rPr>
        <w:t xml:space="preserve">€) </w:t>
      </w:r>
      <w:r w:rsidR="001F339A" w:rsidRPr="001173AE">
        <w:rPr>
          <w:rFonts w:asciiTheme="minorHAnsi" w:hAnsiTheme="minorHAnsi" w:cs="Arial"/>
        </w:rPr>
        <w:t>(Berechnung mittels InEK</w:t>
      </w:r>
      <w:r w:rsidR="007869F5">
        <w:rPr>
          <w:rFonts w:asciiTheme="minorHAnsi" w:hAnsiTheme="minorHAnsi" w:cs="Arial"/>
        </w:rPr>
        <w:t>-Browser 2016-2018</w:t>
      </w:r>
      <w:r w:rsidRPr="001173AE">
        <w:rPr>
          <w:rFonts w:asciiTheme="minorHAnsi" w:hAnsiTheme="minorHAnsi" w:cs="Arial"/>
        </w:rPr>
        <w:t xml:space="preserve">). </w:t>
      </w:r>
    </w:p>
    <w:p w:rsidR="00B77247" w:rsidRPr="001173AE" w:rsidRDefault="00B77247" w:rsidP="000358D5">
      <w:pPr>
        <w:spacing w:line="276" w:lineRule="auto"/>
        <w:jc w:val="both"/>
        <w:rPr>
          <w:rFonts w:asciiTheme="minorHAnsi" w:hAnsiTheme="minorHAnsi" w:cs="Arial"/>
        </w:rPr>
      </w:pPr>
    </w:p>
    <w:p w:rsidR="00B77247" w:rsidRPr="001173AE" w:rsidRDefault="00126FBA" w:rsidP="000358D5">
      <w:pPr>
        <w:spacing w:line="276" w:lineRule="auto"/>
        <w:jc w:val="both"/>
        <w:rPr>
          <w:rFonts w:asciiTheme="minorHAnsi" w:hAnsiTheme="minorHAnsi" w:cs="Arial"/>
        </w:rPr>
      </w:pPr>
      <w:r w:rsidRPr="001173AE">
        <w:rPr>
          <w:rFonts w:asciiTheme="minorHAnsi" w:hAnsiTheme="minorHAnsi" w:cs="Arial"/>
        </w:rPr>
        <w:t xml:space="preserve">Die Anwendung von 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="002A1628" w:rsidRPr="001173AE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2A1628" w:rsidRPr="001173AE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2A1628" w:rsidRPr="001173AE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2A1628" w:rsidRPr="001173AE">
        <w:rPr>
          <w:rFonts w:asciiTheme="minorHAnsi" w:hAnsiTheme="minorHAnsi" w:cs="Arial"/>
        </w:rPr>
        <w:t>Tilmanocept</w:t>
      </w:r>
      <w:proofErr w:type="spellEnd"/>
      <w:r w:rsidR="002A1628" w:rsidRPr="001173AE">
        <w:rPr>
          <w:rFonts w:asciiTheme="minorHAnsi" w:hAnsiTheme="minorHAnsi" w:cs="Arial"/>
        </w:rPr>
        <w:t>)</w:t>
      </w:r>
      <w:r w:rsidR="002A1628" w:rsidRPr="001173AE">
        <w:rPr>
          <w:rStyle w:val="label3"/>
          <w:rFonts w:asciiTheme="minorHAnsi" w:hAnsiTheme="minorHAnsi" w:cs="Arial"/>
          <w:specVanish w:val="0"/>
        </w:rPr>
        <w:t xml:space="preserve"> </w:t>
      </w:r>
      <w:r w:rsidRPr="001173AE">
        <w:rPr>
          <w:rFonts w:asciiTheme="minorHAnsi" w:hAnsiTheme="minorHAnsi" w:cs="Arial"/>
        </w:rPr>
        <w:t xml:space="preserve">führt in jedem Fall zu einer Erhöhung der Ausgaben </w:t>
      </w:r>
      <w:r w:rsidR="00B77247" w:rsidRPr="001173AE">
        <w:rPr>
          <w:rFonts w:asciiTheme="minorHAnsi" w:hAnsiTheme="minorHAnsi" w:cs="Arial"/>
        </w:rPr>
        <w:t xml:space="preserve">in </w:t>
      </w:r>
      <w:r w:rsidR="00A40C5E" w:rsidRPr="001173AE">
        <w:rPr>
          <w:rFonts w:asciiTheme="minorHAnsi" w:hAnsiTheme="minorHAnsi" w:cs="Arial"/>
        </w:rPr>
        <w:t>der Kostenart 4b</w:t>
      </w:r>
      <w:r w:rsidR="00B77247" w:rsidRPr="001173AE">
        <w:rPr>
          <w:rFonts w:asciiTheme="minorHAnsi" w:hAnsiTheme="minorHAnsi" w:cs="Arial"/>
        </w:rPr>
        <w:t xml:space="preserve"> um </w:t>
      </w:r>
      <w:r w:rsidR="00F43112" w:rsidRPr="001173AE">
        <w:rPr>
          <w:rFonts w:asciiTheme="minorHAnsi" w:hAnsiTheme="minorHAnsi" w:cs="Arial"/>
        </w:rPr>
        <w:t>1606,50</w:t>
      </w:r>
      <w:r w:rsidRPr="001173AE">
        <w:rPr>
          <w:rFonts w:asciiTheme="minorHAnsi" w:hAnsiTheme="minorHAnsi" w:cs="Arial"/>
        </w:rPr>
        <w:t xml:space="preserve"> € pro Behandlungsfall bei einer </w:t>
      </w:r>
      <w:r w:rsidR="00B77247" w:rsidRPr="001173AE">
        <w:rPr>
          <w:rFonts w:asciiTheme="minorHAnsi" w:hAnsiTheme="minorHAnsi" w:cs="Arial"/>
        </w:rPr>
        <w:t xml:space="preserve">einmaligen </w:t>
      </w:r>
      <w:r w:rsidRPr="001173AE">
        <w:rPr>
          <w:rFonts w:asciiTheme="minorHAnsi" w:hAnsiTheme="minorHAnsi" w:cs="Arial"/>
        </w:rPr>
        <w:t>Applikation</w:t>
      </w:r>
      <w:r w:rsidR="00B77247" w:rsidRPr="001173AE">
        <w:rPr>
          <w:rFonts w:asciiTheme="minorHAnsi" w:hAnsiTheme="minorHAnsi" w:cs="Arial"/>
        </w:rPr>
        <w:t>. Die bislang in der Sentinel</w:t>
      </w:r>
      <w:r w:rsidR="00D779C6" w:rsidRPr="001173AE">
        <w:rPr>
          <w:rFonts w:asciiTheme="minorHAnsi" w:hAnsiTheme="minorHAnsi" w:cs="Arial"/>
        </w:rPr>
        <w:t>-L</w:t>
      </w:r>
      <w:r w:rsidR="00B77247" w:rsidRPr="001173AE">
        <w:rPr>
          <w:rFonts w:asciiTheme="minorHAnsi" w:hAnsiTheme="minorHAnsi" w:cs="Arial"/>
        </w:rPr>
        <w:t xml:space="preserve">ymphknoten-Diagnostik angewendeten Medikamente oder </w:t>
      </w:r>
      <w:r w:rsidR="00E113B3" w:rsidRPr="001173AE">
        <w:rPr>
          <w:rFonts w:asciiTheme="minorHAnsi" w:hAnsiTheme="minorHAnsi" w:cs="Arial"/>
        </w:rPr>
        <w:t xml:space="preserve">Medizinprodukte kosten im </w:t>
      </w:r>
      <w:r w:rsidR="00C07960" w:rsidRPr="001173AE">
        <w:rPr>
          <w:rFonts w:asciiTheme="minorHAnsi" w:hAnsiTheme="minorHAnsi" w:cs="Arial"/>
        </w:rPr>
        <w:t>Mittel 100</w:t>
      </w:r>
      <w:r w:rsidR="0078138F" w:rsidRPr="001173AE">
        <w:rPr>
          <w:rFonts w:asciiTheme="minorHAnsi" w:hAnsiTheme="minorHAnsi" w:cs="Arial"/>
        </w:rPr>
        <w:t> </w:t>
      </w:r>
      <w:r w:rsidR="00C07960" w:rsidRPr="001173AE">
        <w:rPr>
          <w:rFonts w:asciiTheme="minorHAnsi" w:hAnsiTheme="minorHAnsi" w:cs="Arial"/>
        </w:rPr>
        <w:t>€.</w:t>
      </w:r>
      <w:r w:rsidR="00E113B3" w:rsidRPr="001173AE">
        <w:rPr>
          <w:rFonts w:asciiTheme="minorHAnsi" w:hAnsiTheme="minorHAnsi" w:cs="Arial"/>
        </w:rPr>
        <w:t xml:space="preserve"> </w:t>
      </w:r>
      <w:r w:rsidR="00C07960" w:rsidRPr="001173AE">
        <w:rPr>
          <w:rFonts w:asciiTheme="minorHAnsi" w:hAnsiTheme="minorHAnsi" w:cs="Arial"/>
        </w:rPr>
        <w:t>D</w:t>
      </w:r>
      <w:r w:rsidR="003F3A07" w:rsidRPr="001173AE">
        <w:rPr>
          <w:rFonts w:asciiTheme="minorHAnsi" w:hAnsiTheme="minorHAnsi" w:cs="Arial"/>
        </w:rPr>
        <w:t>a diese bei Einsatz des neuen Medikaments nicht mehr angewendet würden, verringern sich die Kosten in den Kostenarten 4 bzw. 6 entsprechend.</w:t>
      </w:r>
      <w:r w:rsidR="007368BE" w:rsidRPr="001173AE">
        <w:rPr>
          <w:rFonts w:asciiTheme="minorHAnsi" w:hAnsiTheme="minorHAnsi" w:cs="Arial"/>
        </w:rPr>
        <w:t xml:space="preserve"> Bei einer unterstellten Minderung der Kosten um </w:t>
      </w:r>
      <w:r w:rsidR="00E113B3" w:rsidRPr="001173AE">
        <w:rPr>
          <w:rFonts w:asciiTheme="minorHAnsi" w:hAnsiTheme="minorHAnsi" w:cs="Arial"/>
        </w:rPr>
        <w:t>1</w:t>
      </w:r>
      <w:r w:rsidR="007368BE" w:rsidRPr="001173AE">
        <w:rPr>
          <w:rFonts w:asciiTheme="minorHAnsi" w:hAnsiTheme="minorHAnsi" w:cs="Arial"/>
        </w:rPr>
        <w:t>00</w:t>
      </w:r>
      <w:r w:rsidR="00A40C5E" w:rsidRPr="001173AE">
        <w:rPr>
          <w:rFonts w:asciiTheme="minorHAnsi" w:hAnsiTheme="minorHAnsi" w:cs="Arial"/>
        </w:rPr>
        <w:t> </w:t>
      </w:r>
      <w:r w:rsidR="007368BE" w:rsidRPr="001173AE">
        <w:rPr>
          <w:rFonts w:asciiTheme="minorHAnsi" w:hAnsiTheme="minorHAnsi" w:cs="Arial"/>
        </w:rPr>
        <w:t xml:space="preserve">€ würde sich in den aufgeführten DRG somit eine Unterdeckung im Sachkostenbereich der Kostenarten 4 und 6 von mindestens </w:t>
      </w:r>
      <w:r w:rsidR="00F43112" w:rsidRPr="001173AE">
        <w:rPr>
          <w:rFonts w:asciiTheme="minorHAnsi" w:hAnsiTheme="minorHAnsi" w:cs="Arial"/>
        </w:rPr>
        <w:t>1.506,50</w:t>
      </w:r>
      <w:r w:rsidR="004613CE" w:rsidRPr="001173AE">
        <w:rPr>
          <w:rFonts w:asciiTheme="minorHAnsi" w:hAnsiTheme="minorHAnsi" w:cs="Arial"/>
        </w:rPr>
        <w:t> </w:t>
      </w:r>
      <w:r w:rsidR="007368BE" w:rsidRPr="001173AE">
        <w:rPr>
          <w:rFonts w:asciiTheme="minorHAnsi" w:hAnsiTheme="minorHAnsi" w:cs="Arial"/>
        </w:rPr>
        <w:t xml:space="preserve">€ ergeben (zwischen </w:t>
      </w:r>
      <w:r w:rsidR="00C60BB0" w:rsidRPr="001173AE">
        <w:rPr>
          <w:rFonts w:asciiTheme="minorHAnsi" w:hAnsiTheme="minorHAnsi" w:cs="Arial"/>
        </w:rPr>
        <w:t>19,</w:t>
      </w:r>
      <w:r w:rsidR="007869F5">
        <w:rPr>
          <w:rFonts w:asciiTheme="minorHAnsi" w:hAnsiTheme="minorHAnsi" w:cs="Arial"/>
        </w:rPr>
        <w:t>72</w:t>
      </w:r>
      <w:r w:rsidR="00C60BB0" w:rsidRPr="001173AE">
        <w:rPr>
          <w:rFonts w:asciiTheme="minorHAnsi" w:hAnsiTheme="minorHAnsi" w:cs="Arial"/>
        </w:rPr>
        <w:t> </w:t>
      </w:r>
      <w:r w:rsidR="007368BE" w:rsidRPr="001173AE">
        <w:rPr>
          <w:rFonts w:asciiTheme="minorHAnsi" w:hAnsiTheme="minorHAnsi" w:cs="Arial"/>
        </w:rPr>
        <w:t xml:space="preserve">% und </w:t>
      </w:r>
      <w:r w:rsidR="00F43112" w:rsidRPr="001173AE">
        <w:rPr>
          <w:rFonts w:asciiTheme="minorHAnsi" w:hAnsiTheme="minorHAnsi" w:cs="Arial"/>
        </w:rPr>
        <w:t>5</w:t>
      </w:r>
      <w:r w:rsidR="007869F5">
        <w:rPr>
          <w:rFonts w:asciiTheme="minorHAnsi" w:hAnsiTheme="minorHAnsi" w:cs="Arial"/>
        </w:rPr>
        <w:t>3</w:t>
      </w:r>
      <w:r w:rsidR="00F43112" w:rsidRPr="001173AE">
        <w:rPr>
          <w:rFonts w:asciiTheme="minorHAnsi" w:hAnsiTheme="minorHAnsi" w:cs="Arial"/>
        </w:rPr>
        <w:t>,</w:t>
      </w:r>
      <w:r w:rsidR="007869F5">
        <w:rPr>
          <w:rFonts w:asciiTheme="minorHAnsi" w:hAnsiTheme="minorHAnsi" w:cs="Arial"/>
        </w:rPr>
        <w:t>02</w:t>
      </w:r>
      <w:r w:rsidR="007368BE" w:rsidRPr="001173AE">
        <w:rPr>
          <w:rFonts w:asciiTheme="minorHAnsi" w:hAnsiTheme="minorHAnsi" w:cs="Arial"/>
        </w:rPr>
        <w:t xml:space="preserve">% der gegenwärtig kalkulierten </w:t>
      </w:r>
      <w:r w:rsidR="0060063E" w:rsidRPr="001173AE">
        <w:rPr>
          <w:rFonts w:asciiTheme="minorHAnsi" w:hAnsiTheme="minorHAnsi" w:cs="Arial"/>
        </w:rPr>
        <w:t>Gesamt-</w:t>
      </w:r>
      <w:r w:rsidR="007368BE" w:rsidRPr="001173AE">
        <w:rPr>
          <w:rFonts w:asciiTheme="minorHAnsi" w:hAnsiTheme="minorHAnsi" w:cs="Arial"/>
        </w:rPr>
        <w:t>Kosten) (Berechnung mittels In</w:t>
      </w:r>
      <w:r w:rsidR="001F339A" w:rsidRPr="001173AE">
        <w:rPr>
          <w:rFonts w:asciiTheme="minorHAnsi" w:hAnsiTheme="minorHAnsi" w:cs="Arial"/>
        </w:rPr>
        <w:t>EK</w:t>
      </w:r>
      <w:r w:rsidR="007869F5">
        <w:rPr>
          <w:rFonts w:asciiTheme="minorHAnsi" w:hAnsiTheme="minorHAnsi" w:cs="Arial"/>
        </w:rPr>
        <w:t>-Browser 2016</w:t>
      </w:r>
      <w:r w:rsidR="007368BE" w:rsidRPr="001173AE">
        <w:rPr>
          <w:rFonts w:asciiTheme="minorHAnsi" w:hAnsiTheme="minorHAnsi" w:cs="Arial"/>
        </w:rPr>
        <w:t>-201</w:t>
      </w:r>
      <w:r w:rsidR="007869F5">
        <w:rPr>
          <w:rFonts w:asciiTheme="minorHAnsi" w:hAnsiTheme="minorHAnsi" w:cs="Arial"/>
        </w:rPr>
        <w:t>8</w:t>
      </w:r>
      <w:r w:rsidR="007368BE" w:rsidRPr="001173AE">
        <w:rPr>
          <w:rFonts w:asciiTheme="minorHAnsi" w:hAnsiTheme="minorHAnsi" w:cs="Arial"/>
        </w:rPr>
        <w:t>).</w:t>
      </w:r>
    </w:p>
    <w:p w:rsidR="003F3A07" w:rsidRPr="001173AE" w:rsidRDefault="003F3A07" w:rsidP="00126FBA">
      <w:pPr>
        <w:spacing w:line="276" w:lineRule="auto"/>
        <w:rPr>
          <w:rFonts w:asciiTheme="minorHAnsi" w:hAnsiTheme="minorHAnsi" w:cs="Arial"/>
        </w:rPr>
      </w:pPr>
    </w:p>
    <w:p w:rsidR="003F3A07" w:rsidRPr="001173AE" w:rsidRDefault="003F3A07" w:rsidP="006B42DB">
      <w:pPr>
        <w:spacing w:line="276" w:lineRule="auto"/>
        <w:outlineLvl w:val="0"/>
        <w:rPr>
          <w:rFonts w:asciiTheme="minorHAnsi" w:hAnsiTheme="minorHAnsi" w:cs="Arial"/>
        </w:rPr>
      </w:pPr>
      <w:r w:rsidRPr="001173AE">
        <w:rPr>
          <w:rFonts w:asciiTheme="minorHAnsi" w:hAnsiTheme="minorHAnsi" w:cs="Arial"/>
        </w:rPr>
        <w:t xml:space="preserve">Die Personalkosten </w:t>
      </w:r>
      <w:r w:rsidR="007869F5">
        <w:rPr>
          <w:rFonts w:asciiTheme="minorHAnsi" w:hAnsiTheme="minorHAnsi" w:cs="Arial"/>
        </w:rPr>
        <w:t>würden</w:t>
      </w:r>
      <w:r w:rsidRPr="001173AE">
        <w:rPr>
          <w:rFonts w:asciiTheme="minorHAnsi" w:hAnsiTheme="minorHAnsi" w:cs="Arial"/>
        </w:rPr>
        <w:t xml:space="preserve"> unverändert</w:t>
      </w:r>
      <w:r w:rsidR="007869F5">
        <w:rPr>
          <w:rFonts w:asciiTheme="minorHAnsi" w:hAnsiTheme="minorHAnsi" w:cs="Arial"/>
        </w:rPr>
        <w:t xml:space="preserve"> bleiben</w:t>
      </w:r>
      <w:r w:rsidRPr="001173AE">
        <w:rPr>
          <w:rFonts w:asciiTheme="minorHAnsi" w:hAnsiTheme="minorHAnsi" w:cs="Arial"/>
        </w:rPr>
        <w:t>.</w:t>
      </w:r>
    </w:p>
    <w:p w:rsidR="002A3786" w:rsidRPr="001173AE" w:rsidRDefault="002A3786" w:rsidP="00493DBC">
      <w:pPr>
        <w:spacing w:line="276" w:lineRule="auto"/>
        <w:rPr>
          <w:rFonts w:asciiTheme="minorHAnsi" w:hAnsiTheme="minorHAnsi" w:cs="Arial"/>
        </w:rPr>
      </w:pPr>
    </w:p>
    <w:p w:rsidR="00BA18DF" w:rsidRPr="001173AE" w:rsidRDefault="00BA18DF" w:rsidP="006B42DB">
      <w:pPr>
        <w:spacing w:line="276" w:lineRule="auto"/>
        <w:outlineLvl w:val="0"/>
        <w:rPr>
          <w:rFonts w:asciiTheme="minorHAnsi" w:hAnsiTheme="minorHAnsi" w:cs="Arial"/>
          <w:b/>
        </w:rPr>
      </w:pPr>
      <w:r w:rsidRPr="001173AE">
        <w:rPr>
          <w:rFonts w:asciiTheme="minorHAnsi" w:hAnsiTheme="minorHAnsi" w:cs="Arial"/>
          <w:b/>
        </w:rPr>
        <w:t>Welche DRG(s) ist/sind am häufigsten von dieser Methode betroffen?</w:t>
      </w:r>
    </w:p>
    <w:p w:rsidR="00B80BF1" w:rsidRPr="00340487" w:rsidRDefault="00B80BF1" w:rsidP="00493DBC">
      <w:pPr>
        <w:spacing w:line="276" w:lineRule="auto"/>
        <w:rPr>
          <w:rFonts w:asciiTheme="minorHAnsi" w:hAnsiTheme="minorHAnsi" w:cs="Arial"/>
          <w:b/>
          <w:highlight w:val="green"/>
        </w:rPr>
      </w:pP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D08B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D24B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D25B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J06Z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J07A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J07B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lastRenderedPageBreak/>
        <w:t>J14A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J16A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J16B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J21Z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J23Z</w:t>
      </w:r>
    </w:p>
    <w:p w:rsidR="001173AE" w:rsidRPr="001173AE" w:rsidRDefault="001173AE" w:rsidP="001173AE">
      <w:pPr>
        <w:spacing w:line="276" w:lineRule="auto"/>
        <w:rPr>
          <w:rFonts w:asciiTheme="minorHAnsi" w:hAnsiTheme="minorHAnsi" w:cs="Arial"/>
          <w:lang w:val="en-US"/>
        </w:rPr>
      </w:pPr>
      <w:r w:rsidRPr="001173AE">
        <w:rPr>
          <w:rFonts w:asciiTheme="minorHAnsi" w:hAnsiTheme="minorHAnsi" w:cs="Arial"/>
          <w:lang w:val="en-US"/>
        </w:rPr>
        <w:t>J24B</w:t>
      </w:r>
    </w:p>
    <w:p w:rsidR="001F339A" w:rsidRDefault="001173AE" w:rsidP="001173AE">
      <w:pPr>
        <w:spacing w:line="276" w:lineRule="auto"/>
        <w:rPr>
          <w:rFonts w:asciiTheme="minorHAnsi" w:hAnsiTheme="minorHAnsi" w:cs="Arial"/>
        </w:rPr>
      </w:pPr>
      <w:r w:rsidRPr="001173AE">
        <w:rPr>
          <w:rFonts w:asciiTheme="minorHAnsi" w:hAnsiTheme="minorHAnsi" w:cs="Arial"/>
        </w:rPr>
        <w:t>J25Z</w:t>
      </w:r>
    </w:p>
    <w:p w:rsidR="001173AE" w:rsidRPr="00340487" w:rsidRDefault="001173AE" w:rsidP="001173AE">
      <w:pPr>
        <w:spacing w:line="276" w:lineRule="auto"/>
        <w:rPr>
          <w:rFonts w:asciiTheme="minorHAnsi" w:hAnsiTheme="minorHAnsi" w:cs="Arial"/>
          <w:highlight w:val="green"/>
        </w:rPr>
      </w:pPr>
    </w:p>
    <w:p w:rsidR="00BA18DF" w:rsidRPr="00C2744F" w:rsidRDefault="00BA18DF" w:rsidP="00493DBC">
      <w:pPr>
        <w:spacing w:line="276" w:lineRule="auto"/>
        <w:rPr>
          <w:rFonts w:asciiTheme="minorHAnsi" w:hAnsiTheme="minorHAnsi" w:cs="Arial"/>
          <w:b/>
        </w:rPr>
      </w:pPr>
      <w:r w:rsidRPr="00C2744F">
        <w:rPr>
          <w:rFonts w:asciiTheme="minorHAnsi" w:hAnsiTheme="minorHAnsi" w:cs="Arial"/>
          <w:b/>
        </w:rPr>
        <w:t>Warum ist diese Methode aus Ihrer Sicht derzeit im G-DRG-System nicht sachgerecht abgebildet?</w:t>
      </w:r>
    </w:p>
    <w:p w:rsidR="00BA18DF" w:rsidRPr="00C2744F" w:rsidRDefault="00BA18DF" w:rsidP="00493DBC">
      <w:pPr>
        <w:spacing w:line="276" w:lineRule="auto"/>
        <w:rPr>
          <w:rFonts w:asciiTheme="minorHAnsi" w:hAnsiTheme="minorHAnsi" w:cs="Arial"/>
        </w:rPr>
      </w:pPr>
    </w:p>
    <w:p w:rsidR="00993AFB" w:rsidRPr="00C2744F" w:rsidRDefault="00396907" w:rsidP="00975930">
      <w:pPr>
        <w:spacing w:line="276" w:lineRule="auto"/>
        <w:rPr>
          <w:rFonts w:asciiTheme="minorHAnsi" w:hAnsiTheme="minorHAnsi" w:cs="Arial"/>
        </w:rPr>
      </w:pPr>
      <w:r w:rsidRPr="00C2744F">
        <w:rPr>
          <w:rFonts w:asciiTheme="minorHAnsi" w:hAnsiTheme="minorHAnsi" w:cs="Arial"/>
        </w:rPr>
        <w:t xml:space="preserve">Die </w:t>
      </w:r>
      <w:r w:rsidR="00207431" w:rsidRPr="00C2744F">
        <w:rPr>
          <w:rFonts w:asciiTheme="minorHAnsi" w:hAnsiTheme="minorHAnsi" w:cs="Arial"/>
        </w:rPr>
        <w:t xml:space="preserve">Arzneimittelkosten </w:t>
      </w:r>
      <w:r w:rsidR="00C32639" w:rsidRPr="00C2744F">
        <w:rPr>
          <w:rFonts w:asciiTheme="minorHAnsi" w:hAnsiTheme="minorHAnsi" w:cs="Arial"/>
        </w:rPr>
        <w:t xml:space="preserve">für den Einsatz von </w:t>
      </w:r>
      <w:r w:rsidR="008052DE">
        <w:rPr>
          <w:rStyle w:val="label3"/>
          <w:rFonts w:asciiTheme="minorHAnsi" w:hAnsiTheme="minorHAnsi" w:cs="Arial"/>
          <w:specVanish w:val="0"/>
        </w:rPr>
        <w:t>LYMPHOSEEK</w:t>
      </w:r>
      <w:r w:rsidR="002A1628" w:rsidRPr="00C2744F">
        <w:rPr>
          <w:rStyle w:val="label3"/>
          <w:rFonts w:asciiTheme="minorHAnsi" w:hAnsiTheme="minorHAnsi" w:cs="Arial"/>
          <w:vertAlign w:val="superscript"/>
          <w:specVanish w:val="0"/>
        </w:rPr>
        <w:sym w:font="Symbol" w:char="F0D2"/>
      </w:r>
      <w:r w:rsidR="002A1628" w:rsidRPr="00C2744F">
        <w:rPr>
          <w:rStyle w:val="label3"/>
          <w:rFonts w:asciiTheme="minorHAnsi" w:hAnsiTheme="minorHAnsi" w:cs="Arial"/>
          <w:vertAlign w:val="superscript"/>
          <w:specVanish w:val="0"/>
        </w:rPr>
        <w:t xml:space="preserve"> </w:t>
      </w:r>
      <w:r w:rsidR="002A1628" w:rsidRPr="00C2744F">
        <w:rPr>
          <w:rStyle w:val="label3"/>
          <w:rFonts w:asciiTheme="minorHAnsi" w:hAnsiTheme="minorHAnsi" w:cs="Arial"/>
          <w:specVanish w:val="0"/>
        </w:rPr>
        <w:t>(</w:t>
      </w:r>
      <w:proofErr w:type="spellStart"/>
      <w:r w:rsidR="002A1628" w:rsidRPr="00C2744F">
        <w:rPr>
          <w:rFonts w:asciiTheme="minorHAnsi" w:hAnsiTheme="minorHAnsi" w:cs="Arial"/>
        </w:rPr>
        <w:t>Tilmanocept</w:t>
      </w:r>
      <w:proofErr w:type="spellEnd"/>
      <w:r w:rsidR="002A1628" w:rsidRPr="00C2744F">
        <w:rPr>
          <w:rFonts w:asciiTheme="minorHAnsi" w:hAnsiTheme="minorHAnsi" w:cs="Arial"/>
        </w:rPr>
        <w:t>)</w:t>
      </w:r>
      <w:r w:rsidR="002A1628" w:rsidRPr="00C2744F">
        <w:rPr>
          <w:rStyle w:val="label3"/>
          <w:rFonts w:asciiTheme="minorHAnsi" w:hAnsiTheme="minorHAnsi" w:cs="Arial"/>
          <w:specVanish w:val="0"/>
        </w:rPr>
        <w:t xml:space="preserve"> </w:t>
      </w:r>
      <w:r w:rsidR="00BF6828" w:rsidRPr="00C2744F">
        <w:rPr>
          <w:rFonts w:asciiTheme="minorHAnsi" w:hAnsiTheme="minorHAnsi" w:cs="Arial"/>
        </w:rPr>
        <w:t xml:space="preserve">sind deutlich </w:t>
      </w:r>
      <w:r w:rsidR="00207431" w:rsidRPr="00C2744F">
        <w:rPr>
          <w:rFonts w:asciiTheme="minorHAnsi" w:hAnsiTheme="minorHAnsi" w:cs="Arial"/>
        </w:rPr>
        <w:t>höher</w:t>
      </w:r>
      <w:r w:rsidR="00BF6828" w:rsidRPr="00C2744F">
        <w:rPr>
          <w:rFonts w:asciiTheme="minorHAnsi" w:hAnsiTheme="minorHAnsi" w:cs="Arial"/>
        </w:rPr>
        <w:t xml:space="preserve"> als bei </w:t>
      </w:r>
      <w:r w:rsidRPr="00C2744F">
        <w:rPr>
          <w:rFonts w:asciiTheme="minorHAnsi" w:hAnsiTheme="minorHAnsi" w:cs="Arial"/>
        </w:rPr>
        <w:t>V</w:t>
      </w:r>
      <w:r w:rsidR="00BF6828" w:rsidRPr="00C2744F">
        <w:rPr>
          <w:rFonts w:asciiTheme="minorHAnsi" w:hAnsiTheme="minorHAnsi" w:cs="Arial"/>
        </w:rPr>
        <w:t>erwendung bisheriger Ide</w:t>
      </w:r>
      <w:r w:rsidRPr="00C2744F">
        <w:rPr>
          <w:rFonts w:asciiTheme="minorHAnsi" w:hAnsiTheme="minorHAnsi" w:cs="Arial"/>
        </w:rPr>
        <w:t>n</w:t>
      </w:r>
      <w:r w:rsidR="00BF6828" w:rsidRPr="00C2744F">
        <w:rPr>
          <w:rFonts w:asciiTheme="minorHAnsi" w:hAnsiTheme="minorHAnsi" w:cs="Arial"/>
        </w:rPr>
        <w:t>tifi</w:t>
      </w:r>
      <w:r w:rsidRPr="00C2744F">
        <w:rPr>
          <w:rFonts w:asciiTheme="minorHAnsi" w:hAnsiTheme="minorHAnsi" w:cs="Arial"/>
        </w:rPr>
        <w:t>ka</w:t>
      </w:r>
      <w:r w:rsidR="00BF6828" w:rsidRPr="00C2744F">
        <w:rPr>
          <w:rFonts w:asciiTheme="minorHAnsi" w:hAnsiTheme="minorHAnsi" w:cs="Arial"/>
        </w:rPr>
        <w:t>tionsverfahren für Sentinel</w:t>
      </w:r>
      <w:r w:rsidR="00A04AEE" w:rsidRPr="00C2744F">
        <w:rPr>
          <w:rFonts w:asciiTheme="minorHAnsi" w:hAnsiTheme="minorHAnsi" w:cs="Arial"/>
        </w:rPr>
        <w:t>-L</w:t>
      </w:r>
      <w:r w:rsidR="00BF6828" w:rsidRPr="00C2744F">
        <w:rPr>
          <w:rFonts w:asciiTheme="minorHAnsi" w:hAnsiTheme="minorHAnsi" w:cs="Arial"/>
        </w:rPr>
        <w:t>ymphknoten.</w:t>
      </w:r>
      <w:r w:rsidRPr="00C2744F">
        <w:rPr>
          <w:rFonts w:asciiTheme="minorHAnsi" w:hAnsiTheme="minorHAnsi" w:cs="Arial"/>
        </w:rPr>
        <w:t xml:space="preserve"> </w:t>
      </w:r>
      <w:r w:rsidR="00816E07" w:rsidRPr="00C2744F">
        <w:rPr>
          <w:rFonts w:asciiTheme="minorHAnsi" w:hAnsiTheme="minorHAnsi" w:cs="Arial"/>
        </w:rPr>
        <w:t xml:space="preserve">Die </w:t>
      </w:r>
      <w:r w:rsidRPr="00C2744F">
        <w:rPr>
          <w:rFonts w:asciiTheme="minorHAnsi" w:hAnsiTheme="minorHAnsi" w:cs="Arial"/>
        </w:rPr>
        <w:t xml:space="preserve">neue </w:t>
      </w:r>
      <w:r w:rsidR="00816E07" w:rsidRPr="00C2744F">
        <w:rPr>
          <w:rFonts w:asciiTheme="minorHAnsi" w:hAnsiTheme="minorHAnsi" w:cs="Arial"/>
        </w:rPr>
        <w:t xml:space="preserve">Methode ist erst </w:t>
      </w:r>
      <w:r w:rsidR="00626545" w:rsidRPr="00C2744F">
        <w:rPr>
          <w:rFonts w:asciiTheme="minorHAnsi" w:hAnsiTheme="minorHAnsi" w:cs="Arial"/>
        </w:rPr>
        <w:t>ab dem Jahr 201</w:t>
      </w:r>
      <w:r w:rsidR="00CC078C" w:rsidRPr="00C2744F">
        <w:rPr>
          <w:rFonts w:asciiTheme="minorHAnsi" w:hAnsiTheme="minorHAnsi" w:cs="Arial"/>
        </w:rPr>
        <w:t>8</w:t>
      </w:r>
      <w:r w:rsidR="00816E07" w:rsidRPr="00C2744F">
        <w:rPr>
          <w:rFonts w:asciiTheme="minorHAnsi" w:hAnsiTheme="minorHAnsi" w:cs="Arial"/>
        </w:rPr>
        <w:t xml:space="preserve"> </w:t>
      </w:r>
      <w:r w:rsidRPr="00C2744F">
        <w:rPr>
          <w:rFonts w:asciiTheme="minorHAnsi" w:hAnsiTheme="minorHAnsi" w:cs="Arial"/>
        </w:rPr>
        <w:t>kommerziell verfügbar:</w:t>
      </w:r>
      <w:r w:rsidR="00816E07" w:rsidRPr="00C2744F">
        <w:rPr>
          <w:rFonts w:asciiTheme="minorHAnsi" w:hAnsiTheme="minorHAnsi" w:cs="Arial"/>
        </w:rPr>
        <w:t xml:space="preserve"> Daher konnten noch keine Kosten- und Leistungsinformationen bei der Ermittlung der Fallpauschalen-Kataloge 201</w:t>
      </w:r>
      <w:r w:rsidR="00CC078C" w:rsidRPr="00C2744F">
        <w:rPr>
          <w:rFonts w:asciiTheme="minorHAnsi" w:hAnsiTheme="minorHAnsi" w:cs="Arial"/>
        </w:rPr>
        <w:t>6</w:t>
      </w:r>
      <w:r w:rsidR="00A92DF2" w:rsidRPr="00C2744F">
        <w:rPr>
          <w:rFonts w:asciiTheme="minorHAnsi" w:hAnsiTheme="minorHAnsi" w:cs="Arial"/>
        </w:rPr>
        <w:t xml:space="preserve"> und </w:t>
      </w:r>
      <w:r w:rsidR="00CC078C" w:rsidRPr="00C2744F">
        <w:rPr>
          <w:rFonts w:asciiTheme="minorHAnsi" w:hAnsiTheme="minorHAnsi" w:cs="Arial"/>
        </w:rPr>
        <w:t>2017</w:t>
      </w:r>
      <w:r w:rsidR="00816E07" w:rsidRPr="00C2744F">
        <w:rPr>
          <w:rFonts w:asciiTheme="minorHAnsi" w:hAnsiTheme="minorHAnsi" w:cs="Arial"/>
        </w:rPr>
        <w:t xml:space="preserve"> berücksichtigt werden</w:t>
      </w:r>
      <w:r w:rsidR="00A92DF2" w:rsidRPr="00C2744F">
        <w:rPr>
          <w:rFonts w:asciiTheme="minorHAnsi" w:hAnsiTheme="minorHAnsi" w:cs="Arial"/>
        </w:rPr>
        <w:t>, was auch für 201</w:t>
      </w:r>
      <w:r w:rsidR="00CC078C" w:rsidRPr="00C2744F">
        <w:rPr>
          <w:rFonts w:asciiTheme="minorHAnsi" w:hAnsiTheme="minorHAnsi" w:cs="Arial"/>
        </w:rPr>
        <w:t>8</w:t>
      </w:r>
      <w:r w:rsidR="00A92DF2" w:rsidRPr="00C2744F">
        <w:rPr>
          <w:rFonts w:asciiTheme="minorHAnsi" w:hAnsiTheme="minorHAnsi" w:cs="Arial"/>
        </w:rPr>
        <w:t xml:space="preserve"> der Fall sein wird</w:t>
      </w:r>
      <w:r w:rsidR="00816E07" w:rsidRPr="00C2744F">
        <w:rPr>
          <w:rFonts w:asciiTheme="minorHAnsi" w:hAnsiTheme="minorHAnsi" w:cs="Arial"/>
        </w:rPr>
        <w:t>.</w:t>
      </w:r>
    </w:p>
    <w:p w:rsidR="00993AFB" w:rsidRPr="00C2744F" w:rsidRDefault="00993AFB" w:rsidP="00493DBC">
      <w:pPr>
        <w:spacing w:line="276" w:lineRule="auto"/>
        <w:rPr>
          <w:rFonts w:asciiTheme="minorHAnsi" w:hAnsiTheme="minorHAnsi" w:cs="Arial"/>
        </w:rPr>
      </w:pPr>
    </w:p>
    <w:p w:rsidR="00A40C5E" w:rsidRPr="00C2744F" w:rsidRDefault="00A40C5E" w:rsidP="006B42DB">
      <w:pPr>
        <w:spacing w:line="276" w:lineRule="auto"/>
        <w:outlineLvl w:val="0"/>
        <w:rPr>
          <w:rFonts w:asciiTheme="minorHAnsi" w:hAnsiTheme="minorHAnsi" w:cs="Arial"/>
        </w:rPr>
      </w:pPr>
      <w:r w:rsidRPr="00C2744F">
        <w:rPr>
          <w:rFonts w:asciiTheme="minorHAnsi" w:hAnsiTheme="minorHAnsi" w:cs="Arial"/>
        </w:rPr>
        <w:t>Abbi</w:t>
      </w:r>
      <w:r w:rsidR="00A04AEE" w:rsidRPr="00C2744F">
        <w:rPr>
          <w:rFonts w:asciiTheme="minorHAnsi" w:hAnsiTheme="minorHAnsi" w:cs="Arial"/>
        </w:rPr>
        <w:t>l</w:t>
      </w:r>
      <w:r w:rsidR="0008710D" w:rsidRPr="00C2744F">
        <w:rPr>
          <w:rFonts w:asciiTheme="minorHAnsi" w:hAnsiTheme="minorHAnsi" w:cs="Arial"/>
        </w:rPr>
        <w:t>dung 1</w:t>
      </w:r>
    </w:p>
    <w:p w:rsidR="00A40C5E" w:rsidRPr="00340487" w:rsidRDefault="00A40C5E" w:rsidP="00493DBC">
      <w:pPr>
        <w:spacing w:line="276" w:lineRule="auto"/>
        <w:rPr>
          <w:rFonts w:asciiTheme="minorHAnsi" w:hAnsiTheme="minorHAnsi" w:cs="Arial"/>
          <w:highlight w:val="green"/>
        </w:rPr>
      </w:pPr>
    </w:p>
    <w:p w:rsidR="00A40C5E" w:rsidRDefault="001173AE" w:rsidP="00493DBC">
      <w:pPr>
        <w:spacing w:line="276" w:lineRule="auto"/>
        <w:rPr>
          <w:rFonts w:asciiTheme="minorHAnsi" w:hAnsiTheme="minorHAnsi" w:cs="Arial"/>
        </w:rPr>
      </w:pPr>
      <w:r w:rsidRPr="001173AE">
        <w:rPr>
          <w:noProof/>
        </w:rPr>
        <w:drawing>
          <wp:inline distT="0" distB="0" distL="0" distR="0" wp14:anchorId="4BF72B02" wp14:editId="6439D54C">
            <wp:extent cx="5760720" cy="256016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5E" w:rsidRPr="000508A7" w:rsidRDefault="00A40C5E" w:rsidP="00493DBC">
      <w:pPr>
        <w:spacing w:line="276" w:lineRule="auto"/>
        <w:rPr>
          <w:rFonts w:asciiTheme="minorHAnsi" w:hAnsiTheme="minorHAnsi" w:cs="Arial"/>
        </w:rPr>
      </w:pPr>
    </w:p>
    <w:sectPr w:rsidR="00A40C5E" w:rsidRPr="000508A7" w:rsidSect="000F41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584FB1"/>
    <w:multiLevelType w:val="hybridMultilevel"/>
    <w:tmpl w:val="E31AF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bDoc" w:val=" 1"/>
    <w:docVar w:name="cbGoto" w:val=" 2"/>
    <w:docVar w:name="cbIns" w:val=" 2"/>
    <w:docVar w:name="dlbSymBar" w:val="Adress PLUS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GES_Standar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34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varaz5dv9s5tea0we5wad1sww95z0vve2d&quot;&gt;NUB Analyse&lt;record-ids&gt;&lt;item&gt;10&lt;/item&gt;&lt;item&gt;17&lt;/item&gt;&lt;/record-ids&gt;&lt;/item&gt;&lt;/Libraries&gt;"/>
    <w:docVar w:name="tbSymPos" w:val=" 2"/>
  </w:docVars>
  <w:rsids>
    <w:rsidRoot w:val="00BA18DF"/>
    <w:rsid w:val="000145D9"/>
    <w:rsid w:val="000358D5"/>
    <w:rsid w:val="000408E0"/>
    <w:rsid w:val="00042E06"/>
    <w:rsid w:val="000508A7"/>
    <w:rsid w:val="00050CD9"/>
    <w:rsid w:val="00063177"/>
    <w:rsid w:val="00065E67"/>
    <w:rsid w:val="000816A7"/>
    <w:rsid w:val="0008710D"/>
    <w:rsid w:val="0009160C"/>
    <w:rsid w:val="000A651C"/>
    <w:rsid w:val="000E1C5D"/>
    <w:rsid w:val="000F3736"/>
    <w:rsid w:val="000F41C1"/>
    <w:rsid w:val="001173AE"/>
    <w:rsid w:val="00121197"/>
    <w:rsid w:val="00126FBA"/>
    <w:rsid w:val="00136A67"/>
    <w:rsid w:val="00145EDC"/>
    <w:rsid w:val="001466EF"/>
    <w:rsid w:val="00184920"/>
    <w:rsid w:val="001B2189"/>
    <w:rsid w:val="001B30EC"/>
    <w:rsid w:val="001C33DD"/>
    <w:rsid w:val="001C3C68"/>
    <w:rsid w:val="001C6EA1"/>
    <w:rsid w:val="001D4040"/>
    <w:rsid w:val="001D6DD8"/>
    <w:rsid w:val="001E0A7C"/>
    <w:rsid w:val="001E0E06"/>
    <w:rsid w:val="001F339A"/>
    <w:rsid w:val="001F5679"/>
    <w:rsid w:val="00207431"/>
    <w:rsid w:val="0021463F"/>
    <w:rsid w:val="002440E9"/>
    <w:rsid w:val="002460DD"/>
    <w:rsid w:val="00261AC5"/>
    <w:rsid w:val="00262494"/>
    <w:rsid w:val="002644A0"/>
    <w:rsid w:val="00270D50"/>
    <w:rsid w:val="002715AB"/>
    <w:rsid w:val="00286DC3"/>
    <w:rsid w:val="0029050B"/>
    <w:rsid w:val="00291E89"/>
    <w:rsid w:val="00295D42"/>
    <w:rsid w:val="002A1628"/>
    <w:rsid w:val="002A3786"/>
    <w:rsid w:val="002A41F2"/>
    <w:rsid w:val="002B4A4C"/>
    <w:rsid w:val="002C1B23"/>
    <w:rsid w:val="002C4306"/>
    <w:rsid w:val="002D6386"/>
    <w:rsid w:val="002F120F"/>
    <w:rsid w:val="00332B67"/>
    <w:rsid w:val="00334DA9"/>
    <w:rsid w:val="00340487"/>
    <w:rsid w:val="00350AA5"/>
    <w:rsid w:val="00366180"/>
    <w:rsid w:val="00381B47"/>
    <w:rsid w:val="00383CBF"/>
    <w:rsid w:val="0038733B"/>
    <w:rsid w:val="00396907"/>
    <w:rsid w:val="003C1035"/>
    <w:rsid w:val="003E5759"/>
    <w:rsid w:val="003F3A07"/>
    <w:rsid w:val="00413776"/>
    <w:rsid w:val="0042098F"/>
    <w:rsid w:val="00425504"/>
    <w:rsid w:val="00430D88"/>
    <w:rsid w:val="00432FA8"/>
    <w:rsid w:val="004359FA"/>
    <w:rsid w:val="004613CE"/>
    <w:rsid w:val="00470978"/>
    <w:rsid w:val="00473FA0"/>
    <w:rsid w:val="00493DBC"/>
    <w:rsid w:val="00497E3D"/>
    <w:rsid w:val="004C43EA"/>
    <w:rsid w:val="004D0540"/>
    <w:rsid w:val="00504BDE"/>
    <w:rsid w:val="00515F04"/>
    <w:rsid w:val="00536301"/>
    <w:rsid w:val="00537711"/>
    <w:rsid w:val="00556EBD"/>
    <w:rsid w:val="005672ED"/>
    <w:rsid w:val="0057639B"/>
    <w:rsid w:val="00582D1B"/>
    <w:rsid w:val="005A465A"/>
    <w:rsid w:val="005A6FEE"/>
    <w:rsid w:val="005B2747"/>
    <w:rsid w:val="005D7050"/>
    <w:rsid w:val="005F73AF"/>
    <w:rsid w:val="0060063E"/>
    <w:rsid w:val="006176D6"/>
    <w:rsid w:val="006178AE"/>
    <w:rsid w:val="0062060B"/>
    <w:rsid w:val="00626545"/>
    <w:rsid w:val="00633C70"/>
    <w:rsid w:val="00653DB7"/>
    <w:rsid w:val="006706FA"/>
    <w:rsid w:val="00681B00"/>
    <w:rsid w:val="006865F4"/>
    <w:rsid w:val="006A16F0"/>
    <w:rsid w:val="006A3F9F"/>
    <w:rsid w:val="006B42DB"/>
    <w:rsid w:val="006D79E6"/>
    <w:rsid w:val="00702548"/>
    <w:rsid w:val="00706642"/>
    <w:rsid w:val="00727C6B"/>
    <w:rsid w:val="0073136F"/>
    <w:rsid w:val="007368BE"/>
    <w:rsid w:val="00757780"/>
    <w:rsid w:val="00761233"/>
    <w:rsid w:val="00763D23"/>
    <w:rsid w:val="00770DB9"/>
    <w:rsid w:val="00772DD3"/>
    <w:rsid w:val="007735D9"/>
    <w:rsid w:val="0078138F"/>
    <w:rsid w:val="007869F5"/>
    <w:rsid w:val="00792825"/>
    <w:rsid w:val="007967A6"/>
    <w:rsid w:val="007A00A7"/>
    <w:rsid w:val="007B5CE6"/>
    <w:rsid w:val="007C3EC9"/>
    <w:rsid w:val="007D6A2D"/>
    <w:rsid w:val="008052DE"/>
    <w:rsid w:val="00815CD0"/>
    <w:rsid w:val="00816E07"/>
    <w:rsid w:val="008312C6"/>
    <w:rsid w:val="00835A1E"/>
    <w:rsid w:val="0084304F"/>
    <w:rsid w:val="00871DB1"/>
    <w:rsid w:val="0088592C"/>
    <w:rsid w:val="00885EDE"/>
    <w:rsid w:val="008874BC"/>
    <w:rsid w:val="008C55FC"/>
    <w:rsid w:val="008E6782"/>
    <w:rsid w:val="009049EB"/>
    <w:rsid w:val="00917669"/>
    <w:rsid w:val="00921F3D"/>
    <w:rsid w:val="009339CC"/>
    <w:rsid w:val="00935336"/>
    <w:rsid w:val="009374E1"/>
    <w:rsid w:val="0094534E"/>
    <w:rsid w:val="00947AE8"/>
    <w:rsid w:val="00954CC6"/>
    <w:rsid w:val="009654A3"/>
    <w:rsid w:val="00970762"/>
    <w:rsid w:val="00975930"/>
    <w:rsid w:val="00993AFB"/>
    <w:rsid w:val="009A781F"/>
    <w:rsid w:val="009E3C05"/>
    <w:rsid w:val="009E7496"/>
    <w:rsid w:val="00A00780"/>
    <w:rsid w:val="00A04AEE"/>
    <w:rsid w:val="00A156B1"/>
    <w:rsid w:val="00A23364"/>
    <w:rsid w:val="00A40C5E"/>
    <w:rsid w:val="00A447F5"/>
    <w:rsid w:val="00A5066D"/>
    <w:rsid w:val="00A72628"/>
    <w:rsid w:val="00A87885"/>
    <w:rsid w:val="00A92DF2"/>
    <w:rsid w:val="00AB5F44"/>
    <w:rsid w:val="00AC02C3"/>
    <w:rsid w:val="00AC0C65"/>
    <w:rsid w:val="00AC2975"/>
    <w:rsid w:val="00AE015F"/>
    <w:rsid w:val="00AF5EBF"/>
    <w:rsid w:val="00B16741"/>
    <w:rsid w:val="00B47E02"/>
    <w:rsid w:val="00B52755"/>
    <w:rsid w:val="00B73084"/>
    <w:rsid w:val="00B75179"/>
    <w:rsid w:val="00B77247"/>
    <w:rsid w:val="00B772CC"/>
    <w:rsid w:val="00B80BF1"/>
    <w:rsid w:val="00B9020D"/>
    <w:rsid w:val="00BA18DF"/>
    <w:rsid w:val="00BA2956"/>
    <w:rsid w:val="00BF6828"/>
    <w:rsid w:val="00BF6ED9"/>
    <w:rsid w:val="00C07960"/>
    <w:rsid w:val="00C169DB"/>
    <w:rsid w:val="00C241FA"/>
    <w:rsid w:val="00C2744F"/>
    <w:rsid w:val="00C32639"/>
    <w:rsid w:val="00C57961"/>
    <w:rsid w:val="00C60BB0"/>
    <w:rsid w:val="00C96C06"/>
    <w:rsid w:val="00CB14A9"/>
    <w:rsid w:val="00CC078C"/>
    <w:rsid w:val="00CC0860"/>
    <w:rsid w:val="00CC5A8A"/>
    <w:rsid w:val="00CF157A"/>
    <w:rsid w:val="00CF72B5"/>
    <w:rsid w:val="00CF7FDA"/>
    <w:rsid w:val="00D16580"/>
    <w:rsid w:val="00D20D5D"/>
    <w:rsid w:val="00D46730"/>
    <w:rsid w:val="00D56B48"/>
    <w:rsid w:val="00D6347C"/>
    <w:rsid w:val="00D779C6"/>
    <w:rsid w:val="00D9133F"/>
    <w:rsid w:val="00DA0FBA"/>
    <w:rsid w:val="00DB61BC"/>
    <w:rsid w:val="00DD0120"/>
    <w:rsid w:val="00E113B3"/>
    <w:rsid w:val="00E36428"/>
    <w:rsid w:val="00E458BF"/>
    <w:rsid w:val="00E53A7F"/>
    <w:rsid w:val="00E67C8A"/>
    <w:rsid w:val="00E83D69"/>
    <w:rsid w:val="00E97FDE"/>
    <w:rsid w:val="00F04D39"/>
    <w:rsid w:val="00F32CF6"/>
    <w:rsid w:val="00F331D2"/>
    <w:rsid w:val="00F33759"/>
    <w:rsid w:val="00F43112"/>
    <w:rsid w:val="00F5099C"/>
    <w:rsid w:val="00F6010D"/>
    <w:rsid w:val="00F64F5D"/>
    <w:rsid w:val="00F96203"/>
    <w:rsid w:val="00F96F4E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7DA4A-6525-4620-A5C2-61873C4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18D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C430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visible1">
    <w:name w:val="invisible1"/>
    <w:rsid w:val="00BA18DF"/>
    <w:rPr>
      <w:color w:val="FFFFFF"/>
    </w:rPr>
  </w:style>
  <w:style w:type="character" w:customStyle="1" w:styleId="label3">
    <w:name w:val="label3"/>
    <w:rsid w:val="00BA18DF"/>
    <w:rPr>
      <w:vanish w:val="0"/>
      <w:webHidden w:val="0"/>
      <w:specVanish/>
    </w:rPr>
  </w:style>
  <w:style w:type="character" w:styleId="Hyperlink">
    <w:name w:val="Hyperlink"/>
    <w:uiPriority w:val="99"/>
    <w:unhideWhenUsed/>
    <w:rsid w:val="00BA18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3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9D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A87885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A87885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A87885"/>
    <w:rPr>
      <w:rFonts w:cs="Arial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A87885"/>
    <w:rPr>
      <w:rFonts w:ascii="Arial" w:hAnsi="Arial" w:cs="Arial"/>
      <w:noProof/>
      <w:sz w:val="24"/>
      <w:szCs w:val="24"/>
    </w:rPr>
  </w:style>
  <w:style w:type="paragraph" w:customStyle="1" w:styleId="TextkrperDossier">
    <w:name w:val="#_Textkörper_Dossier"/>
    <w:basedOn w:val="Standard"/>
    <w:link w:val="TextkrperDossierZchn"/>
    <w:qFormat/>
    <w:rsid w:val="000508A7"/>
    <w:pPr>
      <w:spacing w:after="240" w:line="264" w:lineRule="auto"/>
      <w:jc w:val="both"/>
    </w:pPr>
    <w:rPr>
      <w:rFonts w:ascii="Times New Roman" w:hAnsi="Times New Roman"/>
      <w:color w:val="00000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08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08A7"/>
    <w:pPr>
      <w:spacing w:after="240" w:line="360" w:lineRule="atLeast"/>
      <w:jc w:val="both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8A7"/>
    <w:rPr>
      <w:rFonts w:ascii="Arial" w:hAnsi="Arial"/>
    </w:rPr>
  </w:style>
  <w:style w:type="character" w:customStyle="1" w:styleId="TextkrperDossierZchn">
    <w:name w:val="#_Textkörper_Dossier Zchn"/>
    <w:basedOn w:val="Absatz-Standardschriftart"/>
    <w:link w:val="TextkrperDossier"/>
    <w:rsid w:val="000508A7"/>
    <w:rPr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8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8A7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8A7"/>
    <w:pPr>
      <w:spacing w:after="0" w:line="240" w:lineRule="auto"/>
      <w:jc w:val="left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8A7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70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90E0-93FC-4F52-86F1-1A50C9DB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Irps</dc:creator>
  <cp:lastModifiedBy>Rainer Deuter</cp:lastModifiedBy>
  <cp:revision>2</cp:revision>
  <cp:lastPrinted>2018-10-08T13:54:00Z</cp:lastPrinted>
  <dcterms:created xsi:type="dcterms:W3CDTF">2018-10-18T07:07:00Z</dcterms:created>
  <dcterms:modified xsi:type="dcterms:W3CDTF">2018-10-18T07:07:00Z</dcterms:modified>
</cp:coreProperties>
</file>